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E225E" w14:textId="02E223F6" w:rsidR="00677D1F" w:rsidRPr="00677D1F" w:rsidRDefault="0010484E" w:rsidP="00677D1F">
      <w:pPr>
        <w:rPr>
          <w:b/>
          <w:bCs/>
          <w:lang w:val="en-US"/>
        </w:rPr>
      </w:pPr>
      <w:r w:rsidRPr="0010484E">
        <w:rPr>
          <w:b/>
          <w:bCs/>
          <w:lang w:val="en-US"/>
        </w:rPr>
        <w:t>R</w:t>
      </w:r>
      <w:r w:rsidR="00677D1F" w:rsidRPr="00677D1F">
        <w:rPr>
          <w:b/>
          <w:bCs/>
          <w:lang w:val="en-US"/>
        </w:rPr>
        <w:t>equest for expression of interest for selection # 1280694</w:t>
      </w:r>
    </w:p>
    <w:p w14:paraId="2F35C849" w14:textId="77777777" w:rsidR="00677D1F" w:rsidRPr="00677D1F" w:rsidRDefault="00677D1F" w:rsidP="00677D1F">
      <w:pPr>
        <w:rPr>
          <w:lang w:val="en-US"/>
        </w:rPr>
      </w:pPr>
      <w:r w:rsidRPr="00677D1F">
        <w:rPr>
          <w:lang w:val="en-US"/>
        </w:rPr>
        <w:t>Selection Information</w:t>
      </w:r>
    </w:p>
    <w:p w14:paraId="3D517116" w14:textId="77777777" w:rsidR="00677D1F" w:rsidRPr="00677D1F" w:rsidRDefault="00677D1F" w:rsidP="00677D1F">
      <w:pPr>
        <w:rPr>
          <w:b/>
          <w:bCs/>
          <w:lang w:val="en-US"/>
        </w:rPr>
      </w:pPr>
      <w:r w:rsidRPr="00677D1F">
        <w:rPr>
          <w:b/>
          <w:bCs/>
          <w:lang w:val="en-US"/>
        </w:rPr>
        <w:t>Assignment Title</w:t>
      </w:r>
    </w:p>
    <w:p w14:paraId="786C274A" w14:textId="77777777" w:rsidR="00677D1F" w:rsidRPr="00677D1F" w:rsidRDefault="00677D1F" w:rsidP="00677D1F">
      <w:pPr>
        <w:rPr>
          <w:lang w:val="en-US"/>
        </w:rPr>
      </w:pPr>
      <w:r w:rsidRPr="00677D1F">
        <w:rPr>
          <w:lang w:val="en-US"/>
        </w:rPr>
        <w:t>Analytical and Advisory Services to the World Bank Group on fisheries and aquaculture activities under a Blue Economy Strategy in Central America</w:t>
      </w:r>
    </w:p>
    <w:p w14:paraId="682C3AF7" w14:textId="77777777" w:rsidR="00677D1F" w:rsidRPr="00677D1F" w:rsidRDefault="00677D1F" w:rsidP="00677D1F">
      <w:pPr>
        <w:rPr>
          <w:b/>
          <w:bCs/>
          <w:lang w:val="en-US"/>
        </w:rPr>
      </w:pPr>
      <w:r w:rsidRPr="00677D1F">
        <w:rPr>
          <w:b/>
          <w:bCs/>
          <w:lang w:val="en-US"/>
        </w:rPr>
        <w:t>Publication Date</w:t>
      </w:r>
    </w:p>
    <w:p w14:paraId="03DF03F4" w14:textId="77777777" w:rsidR="00677D1F" w:rsidRPr="00677D1F" w:rsidRDefault="00677D1F" w:rsidP="00677D1F">
      <w:pPr>
        <w:rPr>
          <w:lang w:val="en-US"/>
        </w:rPr>
      </w:pPr>
      <w:r w:rsidRPr="00677D1F">
        <w:rPr>
          <w:lang w:val="en-US"/>
        </w:rPr>
        <w:t> 09-May-2022</w:t>
      </w:r>
    </w:p>
    <w:p w14:paraId="1DA76289" w14:textId="77777777" w:rsidR="00677D1F" w:rsidRPr="00677D1F" w:rsidRDefault="00677D1F" w:rsidP="00677D1F">
      <w:pPr>
        <w:rPr>
          <w:b/>
          <w:bCs/>
          <w:lang w:val="en-US"/>
        </w:rPr>
      </w:pPr>
      <w:r w:rsidRPr="00677D1F">
        <w:rPr>
          <w:b/>
          <w:bCs/>
          <w:lang w:val="en-US"/>
        </w:rPr>
        <w:t>Expression of Interest Deadline</w:t>
      </w:r>
    </w:p>
    <w:p w14:paraId="397BF2C5" w14:textId="77777777" w:rsidR="00677D1F" w:rsidRPr="00677D1F" w:rsidRDefault="00677D1F" w:rsidP="00677D1F">
      <w:pPr>
        <w:rPr>
          <w:lang w:val="en-US"/>
        </w:rPr>
      </w:pPr>
      <w:r w:rsidRPr="00677D1F">
        <w:rPr>
          <w:lang w:val="en-US"/>
        </w:rPr>
        <w:t> 31-May-2022 at 11:59:59 PM (Eastern Time – Washington D.C.)</w:t>
      </w:r>
    </w:p>
    <w:p w14:paraId="631D309A" w14:textId="77777777" w:rsidR="00677D1F" w:rsidRPr="00677D1F" w:rsidRDefault="00677D1F" w:rsidP="00677D1F">
      <w:pPr>
        <w:rPr>
          <w:b/>
          <w:bCs/>
          <w:lang w:val="en-US"/>
        </w:rPr>
      </w:pPr>
      <w:r w:rsidRPr="00677D1F">
        <w:rPr>
          <w:b/>
          <w:bCs/>
          <w:lang w:val="en-US"/>
        </w:rPr>
        <w:t>Language of Notice</w:t>
      </w:r>
    </w:p>
    <w:p w14:paraId="71DE7742" w14:textId="77777777" w:rsidR="00677D1F" w:rsidRPr="00677D1F" w:rsidRDefault="00677D1F" w:rsidP="00677D1F">
      <w:pPr>
        <w:rPr>
          <w:lang w:val="en-US"/>
        </w:rPr>
      </w:pPr>
      <w:r w:rsidRPr="00677D1F">
        <w:rPr>
          <w:lang w:val="en-US"/>
        </w:rPr>
        <w:t> English</w:t>
      </w:r>
    </w:p>
    <w:p w14:paraId="7E920DB8" w14:textId="77777777" w:rsidR="00677D1F" w:rsidRPr="00677D1F" w:rsidRDefault="00677D1F" w:rsidP="00677D1F">
      <w:pPr>
        <w:rPr>
          <w:lang w:val="en-US"/>
        </w:rPr>
      </w:pPr>
      <w:r w:rsidRPr="00677D1F">
        <w:rPr>
          <w:lang w:val="en-US"/>
        </w:rPr>
        <w:t>Selection Notice</w:t>
      </w:r>
    </w:p>
    <w:p w14:paraId="442537AA" w14:textId="77777777" w:rsidR="00677D1F" w:rsidRPr="00677D1F" w:rsidRDefault="00677D1F" w:rsidP="00677D1F">
      <w:pPr>
        <w:rPr>
          <w:b/>
          <w:bCs/>
        </w:rPr>
      </w:pPr>
      <w:r w:rsidRPr="00677D1F">
        <w:rPr>
          <w:b/>
          <w:bCs/>
        </w:rPr>
        <w:t>Assignment Country</w:t>
      </w:r>
    </w:p>
    <w:p w14:paraId="62D55D48" w14:textId="77777777" w:rsidR="00677D1F" w:rsidRPr="00677D1F" w:rsidRDefault="00677D1F" w:rsidP="00677D1F">
      <w:pPr>
        <w:numPr>
          <w:ilvl w:val="0"/>
          <w:numId w:val="1"/>
        </w:numPr>
      </w:pPr>
      <w:r w:rsidRPr="00677D1F">
        <w:t>No Countries Assigned</w:t>
      </w:r>
    </w:p>
    <w:p w14:paraId="2E687BE8" w14:textId="77777777" w:rsidR="00677D1F" w:rsidRPr="00677D1F" w:rsidRDefault="00677D1F" w:rsidP="00677D1F">
      <w:pPr>
        <w:rPr>
          <w:b/>
          <w:bCs/>
        </w:rPr>
      </w:pPr>
      <w:r w:rsidRPr="00677D1F">
        <w:rPr>
          <w:b/>
          <w:bCs/>
        </w:rPr>
        <w:t>Funding Sources</w:t>
      </w:r>
    </w:p>
    <w:p w14:paraId="79664A92" w14:textId="77777777" w:rsidR="00677D1F" w:rsidRPr="00677D1F" w:rsidRDefault="00677D1F" w:rsidP="00677D1F">
      <w:pPr>
        <w:rPr>
          <w:lang w:val="en-US"/>
        </w:rPr>
      </w:pPr>
      <w:r w:rsidRPr="00677D1F">
        <w:rPr>
          <w:lang w:val="en-US"/>
        </w:rPr>
        <w:t>The World Bank Group intends to finance the assignment/services under:</w:t>
      </w:r>
    </w:p>
    <w:p w14:paraId="6447B454" w14:textId="77777777" w:rsidR="00677D1F" w:rsidRPr="00677D1F" w:rsidRDefault="00677D1F" w:rsidP="00677D1F">
      <w:pPr>
        <w:numPr>
          <w:ilvl w:val="0"/>
          <w:numId w:val="2"/>
        </w:numPr>
      </w:pPr>
      <w:r w:rsidRPr="00677D1F">
        <w:t>BB - BANK BUDGET</w:t>
      </w:r>
    </w:p>
    <w:p w14:paraId="2DDDECEF" w14:textId="77777777" w:rsidR="00677D1F" w:rsidRPr="00677D1F" w:rsidRDefault="00677D1F" w:rsidP="00677D1F">
      <w:pPr>
        <w:numPr>
          <w:ilvl w:val="0"/>
          <w:numId w:val="2"/>
        </w:numPr>
      </w:pPr>
      <w:r w:rsidRPr="00677D1F">
        <w:t>TF084332 - Generating and sharing knowledge</w:t>
      </w:r>
    </w:p>
    <w:p w14:paraId="35D74E50" w14:textId="77777777" w:rsidR="00677D1F" w:rsidRPr="00677D1F" w:rsidRDefault="00677D1F" w:rsidP="00677D1F">
      <w:pPr>
        <w:rPr>
          <w:b/>
          <w:bCs/>
        </w:rPr>
      </w:pPr>
      <w:r w:rsidRPr="00677D1F">
        <w:rPr>
          <w:b/>
          <w:bCs/>
        </w:rPr>
        <w:t>Individual/Firm</w:t>
      </w:r>
    </w:p>
    <w:p w14:paraId="1FE42376" w14:textId="77777777" w:rsidR="00677D1F" w:rsidRPr="00677D1F" w:rsidRDefault="00677D1F" w:rsidP="00677D1F">
      <w:pPr>
        <w:rPr>
          <w:lang w:val="en-US"/>
        </w:rPr>
      </w:pPr>
      <w:r w:rsidRPr="00677D1F">
        <w:rPr>
          <w:lang w:val="en-US"/>
        </w:rPr>
        <w:t>The consultant will be a firm.</w:t>
      </w:r>
    </w:p>
    <w:p w14:paraId="0E313BE3" w14:textId="77777777" w:rsidR="00677D1F" w:rsidRPr="00677D1F" w:rsidRDefault="00677D1F" w:rsidP="00677D1F">
      <w:pPr>
        <w:rPr>
          <w:lang w:val="en-US"/>
        </w:rPr>
      </w:pPr>
      <w:r w:rsidRPr="00677D1F">
        <w:rPr>
          <w:lang w:val="en-US"/>
        </w:rPr>
        <w:t>Assignment Description</w:t>
      </w:r>
    </w:p>
    <w:p w14:paraId="11D33B06" w14:textId="77777777" w:rsidR="00677D1F" w:rsidRPr="00677D1F" w:rsidRDefault="00677D1F" w:rsidP="00677D1F">
      <w:pPr>
        <w:rPr>
          <w:lang w:val="en-US"/>
        </w:rPr>
      </w:pPr>
      <w:r w:rsidRPr="00677D1F">
        <w:rPr>
          <w:lang w:val="en-US"/>
        </w:rPr>
        <w:t>ASSIGNMENT DESCRIPTION</w:t>
      </w:r>
      <w:r w:rsidRPr="00677D1F">
        <w:rPr>
          <w:lang w:val="en-US"/>
        </w:rPr>
        <w:br/>
        <w:t>A. INTRODUCTION</w:t>
      </w:r>
      <w:r w:rsidRPr="00677D1F">
        <w:rPr>
          <w:lang w:val="en-US"/>
        </w:rPr>
        <w:br/>
        <w:t>The World Bank Group is contributing to the creation of a Central America Blue Economy Strategy (PROBLUE CA) to help develop an enabling environment for job creation and boost value addition in the blue economy of the region.</w:t>
      </w:r>
      <w:r w:rsidRPr="00677D1F">
        <w:rPr>
          <w:lang w:val="en-US"/>
        </w:rPr>
        <w:br/>
        <w:t>The PROBLUE CA initiative emerged from requests for assistance from the Government of El Salvador to help conceptualize its Franja Pacífico blue economy-based program, and from the Government of Honduras to design a blue economy program around the Gulf of Fonseca (GoF) in coordination with neighboring El Salvador and Nicaragua, following high level international discussions and historic presidential agreements.</w:t>
      </w:r>
      <w:r w:rsidRPr="00677D1F">
        <w:rPr>
          <w:lang w:val="en-US"/>
        </w:rPr>
        <w:br/>
        <w:t xml:space="preserve">The proposed PROBLUE CA will support elements of the Central America Regional Strategy for Blue Growth (Estrategia Regional de Crecimiento Azul - ERCA). The ERCA is spearheaded by the Central </w:t>
      </w:r>
      <w:r w:rsidRPr="00677D1F">
        <w:rPr>
          <w:lang w:val="en-US"/>
        </w:rPr>
        <w:lastRenderedPageBreak/>
        <w:t>American Integration System (Sistema de la Integración Centroamericana - SICA) and led by SICAs Fisheries and Aquaculture Organization (Organización del Sector Pesquero y Acuícola del Istmo Centroamericano - OSPESCA.</w:t>
      </w:r>
      <w:r w:rsidRPr="00677D1F">
        <w:rPr>
          <w:lang w:val="en-US"/>
        </w:rPr>
        <w:br/>
        <w:t>While there are several regions across the Central American isthmus that will benefit from a regional Blue Economy, countries bordering the Gulf of Fonseca (GoF) would particularly benefit from greater regional coordination to ensure the sustainable use of their shared coastal and marine assets. The GoF is a dynamic and productive estuarine ecosystem shared by El Salvador, Honduras and Nicaragua. This sub-region offers a unique opportunity to foster regional cooperation. The Gulf is currently threatened by pollution and overfishing but, if better managed, could support sustainable economic growth for the riparian populations of Honduras, El Salvador and Nicaragua.</w:t>
      </w:r>
      <w:r w:rsidRPr="00677D1F">
        <w:rPr>
          <w:lang w:val="en-US"/>
        </w:rPr>
        <w:br/>
        <w:t>The World Bank has received funding from the PROBLUE Multi-Donor Trust Fund (PROBLUE MTDF), which supports the sustainable and integrated development of marine and coastal resources in healthy oceans. Funds from the PROBLUE MTDF to support the PROBLUE CA will finance advisory services and analytics (ASA) designed to promote regional collaboration, information-sharing, and knowledge across SICA member countries (regional activities), management of the blue economy in El Salvador and Honduras (country specific activities), and on inclusive and sustainable coastal transformation in the Gulf (Gulf of Fonseca activities).</w:t>
      </w:r>
      <w:r w:rsidRPr="00677D1F">
        <w:rPr>
          <w:lang w:val="en-US"/>
        </w:rPr>
        <w:br/>
        <w:t>B. GENERAL SCOPE OF THE SERVICES</w:t>
      </w:r>
      <w:r w:rsidRPr="00677D1F">
        <w:rPr>
          <w:lang w:val="en-US"/>
        </w:rPr>
        <w:br/>
        <w:t>The objective of this assignment is to provide assessments, recommendations and advise to the World Bank Group to carry out dialogue and knowledge sharing support to the SICA in the creation of a blue economy enabling environment in Central America. The deliverables will enable the World Bank to support regional and national capacities and identify investment needs to foster sustainability, contribute to job creation, and to boost value addition in the Central America region and the Gulf of Fonseca in particular.</w:t>
      </w:r>
      <w:r w:rsidRPr="00677D1F">
        <w:rPr>
          <w:lang w:val="en-US"/>
        </w:rPr>
        <w:br/>
        <w:t>The World Bank Group has divided the assignment in four tasks, structured with regional and country-specific elements and expected to be implemented in parallel. The Terms of Reference (TOR) for the assignment will be further developed at the Request for Proposals (RFP) stage, and the tasks may change, may be grouped into lots, and/or be further developed at that time. Any feedback from Consultants at the REOI stage will be considered in developing the TOR.</w:t>
      </w:r>
      <w:r w:rsidRPr="00677D1F">
        <w:rPr>
          <w:lang w:val="en-US"/>
        </w:rPr>
        <w:br/>
        <w:t>This REOI is for Analytical and advisory work on fisheries and aquaculture activities, including inter alia: (i) assessment of investment options needs to enable more effective fisheries management in Honduras, El Salvador and the GoF; (ii) provide recommendations on innovative approaches to sustainable fisheries management that could be applied across the region; (iii) provide recommendations on opportunities for improving the social and environmental performance of the aquaculture sector in the region; and (iv) provide recommendations on strategies for strengthening fisheries and aquaculture value chains.</w:t>
      </w:r>
      <w:r w:rsidRPr="00677D1F">
        <w:rPr>
          <w:lang w:val="en-US"/>
        </w:rPr>
        <w:br/>
        <w:t>The implementation of the services will follow a two-phased approach. The first phase (Phase 1) is estimated to initiate July 2022 and to be completed in not more than 18 months (e.g. December 2023). The second phase, which is subject to outcomes obtained from Phase 1 and expected to take an additional 18-24 months, will provide additional analytical and advisory service to the World Bank Group on specific elements furthering sustainable management of marine and coastal resources in the region, targeted blue economy investment advice, and support to the World Bank Group on specific innovative knowledge generation activities in target countries.</w:t>
      </w:r>
      <w:r w:rsidRPr="00677D1F">
        <w:rPr>
          <w:lang w:val="en-US"/>
        </w:rPr>
        <w:br/>
        <w:t>C. EXPRESSION OF INTEREST &amp; INFORMATION</w:t>
      </w:r>
      <w:r w:rsidRPr="00677D1F">
        <w:rPr>
          <w:lang w:val="en-US"/>
        </w:rPr>
        <w:br/>
        <w:t xml:space="preserve">Consultant firms are invited to submit Expressions of Interest (EOI) for this selection, which shall </w:t>
      </w:r>
      <w:r w:rsidRPr="00677D1F">
        <w:rPr>
          <w:lang w:val="en-US"/>
        </w:rPr>
        <w:lastRenderedPageBreak/>
        <w:t>respond to the following qualification criteria:</w:t>
      </w:r>
      <w:r w:rsidRPr="00677D1F">
        <w:rPr>
          <w:lang w:val="en-US"/>
        </w:rPr>
        <w:br/>
        <w:t>Outline of the Firms (or Consortiums) core business and experience in carrying out assignments relevant to the Blue Economy sectors and the tasks highlighted above.</w:t>
      </w:r>
      <w:r w:rsidRPr="00677D1F">
        <w:rPr>
          <w:lang w:val="en-US"/>
        </w:rPr>
        <w:br/>
        <w:t>Summary description of their proposed approach for carrying out each task under Phase 1.</w:t>
      </w:r>
      <w:r w:rsidRPr="00677D1F">
        <w:rPr>
          <w:lang w:val="en-US"/>
        </w:rPr>
        <w:br/>
        <w:t>Expertise in deploying open-source geospatial tools and experience with geospatial analysis.</w:t>
      </w:r>
      <w:r w:rsidRPr="00677D1F">
        <w:rPr>
          <w:lang w:val="en-US"/>
        </w:rPr>
        <w:br/>
        <w:t>Prior experience working on World Bank financed or commissioned projects.</w:t>
      </w:r>
      <w:r w:rsidRPr="00677D1F">
        <w:rPr>
          <w:lang w:val="en-US"/>
        </w:rPr>
        <w:br/>
        <w:t>Any comments or suggestions that the Consultant has on the approach being proposed or methodological considerations that the World Bank Group team should take into account.</w:t>
      </w:r>
      <w:r w:rsidRPr="00677D1F">
        <w:rPr>
          <w:lang w:val="en-US"/>
        </w:rPr>
        <w:br/>
        <w:t>D. FIRM PROFILE</w:t>
      </w:r>
      <w:r w:rsidRPr="00677D1F">
        <w:rPr>
          <w:lang w:val="en-US"/>
        </w:rPr>
        <w:br/>
        <w:t>It is anticipated that Consultants responding to this EOI will be firms, or a consortium of firms (with one firm designated as the lead Consultant).</w:t>
      </w:r>
      <w:r w:rsidRPr="00677D1F">
        <w:rPr>
          <w:lang w:val="en-US"/>
        </w:rPr>
        <w:br/>
        <w:t>E. SUBMISSION REQUIREMENTS</w:t>
      </w:r>
      <w:r w:rsidRPr="00677D1F">
        <w:rPr>
          <w:lang w:val="en-US"/>
        </w:rPr>
        <w:br/>
        <w:t>The World Bank now invites eligible consultants to indicate their interest in being invited to submit a full proposal at the RFP stage.</w:t>
      </w:r>
      <w:r w:rsidRPr="00677D1F">
        <w:rPr>
          <w:lang w:val="en-US"/>
        </w:rPr>
        <w:br/>
        <w:t>Interested consultants must provide information indicating that they are qualified to perform the services, referring to the guidance above. Consultants may associate with other invited and non-invited firms to enhance their qualifications. The EOI submission shall be in the form of a single attached PDF file, including any annexes. Please note that the total size of this PDF file should be less than 5MB, and there is no need to complete the text fields available on eConsult. We require that Consultants limit their EOI to a focused and tailored submission not to exceed 10 pages, exclusive of CVs and suggestions/comments on the proposed approach/methodology, which can be included as annex material. EOI submissions that go beyond the 10-page limit WILL NOT BE REVIEWED beyond this point, which may negatively impact on the scoring that is given. The intention at the REOI stage is to assess the suitability of each Consultant to be invited to the RFP stage, and so firms should focus on responding to the criteria outlined in Section C above and should keep their EOI submissions concise and to the point.</w:t>
      </w:r>
      <w:r w:rsidRPr="00677D1F">
        <w:rPr>
          <w:lang w:val="en-US"/>
        </w:rPr>
        <w:br/>
        <w:t>F. NOTES</w:t>
      </w:r>
      <w:r w:rsidRPr="00677D1F">
        <w:rPr>
          <w:lang w:val="en-US"/>
        </w:rPr>
        <w:br/>
        <w:t>Following the completion of the EOI stage, a shortlist of eligible consultants will be invited to the RFP stage, which will include a full technical and financial evaluation.</w:t>
      </w:r>
      <w:r w:rsidRPr="00677D1F">
        <w:rPr>
          <w:lang w:val="en-US"/>
        </w:rPr>
        <w:br/>
        <w:t>Interested firms are hereby invited to submit expressions of interest. Expressions of Interest should be submitted electronically through World Bank Group eConsultant2.</w:t>
      </w:r>
    </w:p>
    <w:p w14:paraId="6F8C1A90" w14:textId="77777777" w:rsidR="00677D1F" w:rsidRPr="00677D1F" w:rsidRDefault="00677D1F" w:rsidP="00677D1F">
      <w:r w:rsidRPr="00677D1F">
        <w:t>Qualification Criteria</w:t>
      </w:r>
    </w:p>
    <w:p w14:paraId="6CE3E7CB" w14:textId="77777777" w:rsidR="00677D1F" w:rsidRPr="00677D1F" w:rsidRDefault="00677D1F" w:rsidP="00677D1F">
      <w:pPr>
        <w:numPr>
          <w:ilvl w:val="0"/>
          <w:numId w:val="3"/>
        </w:numPr>
      </w:pPr>
      <w:r w:rsidRPr="00677D1F">
        <w:rPr>
          <w:b/>
          <w:bCs/>
          <w:lang w:val="en-US"/>
        </w:rPr>
        <w:t>1.</w:t>
      </w:r>
      <w:r w:rsidRPr="00677D1F">
        <w:rPr>
          <w:lang w:val="en-US"/>
        </w:rPr>
        <w:t> Provide information showing that they are qualified in the field of the assignment. </w:t>
      </w:r>
      <w:r w:rsidRPr="00677D1F">
        <w:t>*</w:t>
      </w:r>
    </w:p>
    <w:p w14:paraId="7E403CB8" w14:textId="77777777" w:rsidR="00677D1F" w:rsidRPr="00677D1F" w:rsidRDefault="00677D1F" w:rsidP="00677D1F">
      <w:pPr>
        <w:numPr>
          <w:ilvl w:val="0"/>
          <w:numId w:val="3"/>
        </w:numPr>
      </w:pPr>
      <w:r w:rsidRPr="00677D1F">
        <w:rPr>
          <w:b/>
          <w:bCs/>
          <w:lang w:val="en-US"/>
        </w:rPr>
        <w:t>2.</w:t>
      </w:r>
      <w:r w:rsidRPr="00677D1F">
        <w:rPr>
          <w:lang w:val="en-US"/>
        </w:rPr>
        <w:t> Provide information on the technical and managerial capabilities of the firm. </w:t>
      </w:r>
      <w:r w:rsidRPr="00677D1F">
        <w:t>*</w:t>
      </w:r>
    </w:p>
    <w:p w14:paraId="0166674B" w14:textId="77777777" w:rsidR="00677D1F" w:rsidRPr="00677D1F" w:rsidRDefault="00677D1F" w:rsidP="00677D1F">
      <w:pPr>
        <w:numPr>
          <w:ilvl w:val="0"/>
          <w:numId w:val="3"/>
        </w:numPr>
      </w:pPr>
      <w:r w:rsidRPr="00677D1F">
        <w:rPr>
          <w:b/>
          <w:bCs/>
          <w:lang w:val="en-US"/>
        </w:rPr>
        <w:t>3.</w:t>
      </w:r>
      <w:r w:rsidRPr="00677D1F">
        <w:rPr>
          <w:lang w:val="en-US"/>
        </w:rPr>
        <w:t> Provide information on their core business and years in business. </w:t>
      </w:r>
      <w:r w:rsidRPr="00677D1F">
        <w:t>*</w:t>
      </w:r>
    </w:p>
    <w:p w14:paraId="509552E1" w14:textId="77777777" w:rsidR="00677D1F" w:rsidRPr="00677D1F" w:rsidRDefault="00677D1F" w:rsidP="00677D1F">
      <w:pPr>
        <w:numPr>
          <w:ilvl w:val="0"/>
          <w:numId w:val="3"/>
        </w:numPr>
      </w:pPr>
      <w:r w:rsidRPr="00677D1F">
        <w:rPr>
          <w:b/>
          <w:bCs/>
          <w:lang w:val="en-US"/>
        </w:rPr>
        <w:t>4.</w:t>
      </w:r>
      <w:r w:rsidRPr="00677D1F">
        <w:rPr>
          <w:lang w:val="en-US"/>
        </w:rPr>
        <w:t> Provide information on the qualifications of key staff. </w:t>
      </w:r>
      <w:r w:rsidRPr="00677D1F">
        <w:t>*</w:t>
      </w:r>
    </w:p>
    <w:p w14:paraId="0B996925" w14:textId="77777777" w:rsidR="00677D1F" w:rsidRPr="00677D1F" w:rsidRDefault="00677D1F" w:rsidP="00677D1F">
      <w:pPr>
        <w:rPr>
          <w:i/>
          <w:iCs/>
        </w:rPr>
      </w:pPr>
      <w:r w:rsidRPr="00677D1F">
        <w:rPr>
          <w:i/>
          <w:iCs/>
        </w:rPr>
        <w:t>* - Mandatory</w:t>
      </w:r>
    </w:p>
    <w:p w14:paraId="68A589DD" w14:textId="77777777" w:rsidR="00FE34C9" w:rsidRDefault="0010484E"/>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94B8A"/>
    <w:multiLevelType w:val="multilevel"/>
    <w:tmpl w:val="88C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012162"/>
    <w:multiLevelType w:val="multilevel"/>
    <w:tmpl w:val="CF5A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B73701"/>
    <w:multiLevelType w:val="multilevel"/>
    <w:tmpl w:val="ACFA6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D1F"/>
    <w:rsid w:val="0010484E"/>
    <w:rsid w:val="00451776"/>
    <w:rsid w:val="005C7D21"/>
    <w:rsid w:val="00677D1F"/>
    <w:rsid w:val="00BE3757"/>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431A9"/>
  <w15:chartTrackingRefBased/>
  <w15:docId w15:val="{4A6B61A7-21BB-451B-828C-518C2723D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2751264">
      <w:bodyDiv w:val="1"/>
      <w:marLeft w:val="0"/>
      <w:marRight w:val="0"/>
      <w:marTop w:val="0"/>
      <w:marBottom w:val="0"/>
      <w:divBdr>
        <w:top w:val="none" w:sz="0" w:space="0" w:color="auto"/>
        <w:left w:val="none" w:sz="0" w:space="0" w:color="auto"/>
        <w:bottom w:val="none" w:sz="0" w:space="0" w:color="auto"/>
        <w:right w:val="none" w:sz="0" w:space="0" w:color="auto"/>
      </w:divBdr>
      <w:divsChild>
        <w:div w:id="1300378329">
          <w:marLeft w:val="0"/>
          <w:marRight w:val="0"/>
          <w:marTop w:val="0"/>
          <w:marBottom w:val="0"/>
          <w:divBdr>
            <w:top w:val="single" w:sz="6" w:space="6" w:color="999999"/>
            <w:left w:val="single" w:sz="6" w:space="30" w:color="999999"/>
            <w:bottom w:val="single" w:sz="6" w:space="0" w:color="999999"/>
            <w:right w:val="single" w:sz="6" w:space="0" w:color="999999"/>
          </w:divBdr>
        </w:div>
        <w:div w:id="1776247764">
          <w:marLeft w:val="0"/>
          <w:marRight w:val="0"/>
          <w:marTop w:val="300"/>
          <w:marBottom w:val="0"/>
          <w:divBdr>
            <w:top w:val="none" w:sz="0" w:space="0" w:color="auto"/>
            <w:left w:val="none" w:sz="0" w:space="0" w:color="auto"/>
            <w:bottom w:val="none" w:sz="0" w:space="0" w:color="auto"/>
            <w:right w:val="none" w:sz="0" w:space="0" w:color="auto"/>
          </w:divBdr>
          <w:divsChild>
            <w:div w:id="167641684">
              <w:marLeft w:val="0"/>
              <w:marRight w:val="0"/>
              <w:marTop w:val="0"/>
              <w:marBottom w:val="0"/>
              <w:divBdr>
                <w:top w:val="none" w:sz="0" w:space="0" w:color="auto"/>
                <w:left w:val="none" w:sz="0" w:space="0" w:color="auto"/>
                <w:bottom w:val="none" w:sz="0" w:space="0" w:color="auto"/>
                <w:right w:val="none" w:sz="0" w:space="0" w:color="auto"/>
              </w:divBdr>
              <w:divsChild>
                <w:div w:id="1179931574">
                  <w:marLeft w:val="0"/>
                  <w:marRight w:val="0"/>
                  <w:marTop w:val="0"/>
                  <w:marBottom w:val="0"/>
                  <w:divBdr>
                    <w:top w:val="none" w:sz="0" w:space="0" w:color="auto"/>
                    <w:left w:val="none" w:sz="0" w:space="0" w:color="auto"/>
                    <w:bottom w:val="none" w:sz="0" w:space="0" w:color="auto"/>
                    <w:right w:val="none" w:sz="0" w:space="0" w:color="auto"/>
                  </w:divBdr>
                </w:div>
              </w:divsChild>
            </w:div>
            <w:div w:id="743526479">
              <w:marLeft w:val="0"/>
              <w:marRight w:val="0"/>
              <w:marTop w:val="0"/>
              <w:marBottom w:val="0"/>
              <w:divBdr>
                <w:top w:val="none" w:sz="0" w:space="0" w:color="auto"/>
                <w:left w:val="none" w:sz="0" w:space="0" w:color="auto"/>
                <w:bottom w:val="none" w:sz="0" w:space="0" w:color="auto"/>
                <w:right w:val="none" w:sz="0" w:space="0" w:color="auto"/>
              </w:divBdr>
              <w:divsChild>
                <w:div w:id="1571693164">
                  <w:marLeft w:val="0"/>
                  <w:marRight w:val="0"/>
                  <w:marTop w:val="0"/>
                  <w:marBottom w:val="0"/>
                  <w:divBdr>
                    <w:top w:val="none" w:sz="0" w:space="0" w:color="auto"/>
                    <w:left w:val="none" w:sz="0" w:space="0" w:color="auto"/>
                    <w:bottom w:val="none" w:sz="0" w:space="0" w:color="auto"/>
                    <w:right w:val="none" w:sz="0" w:space="0" w:color="auto"/>
                  </w:divBdr>
                </w:div>
              </w:divsChild>
            </w:div>
            <w:div w:id="996419527">
              <w:marLeft w:val="0"/>
              <w:marRight w:val="0"/>
              <w:marTop w:val="0"/>
              <w:marBottom w:val="0"/>
              <w:divBdr>
                <w:top w:val="none" w:sz="0" w:space="0" w:color="auto"/>
                <w:left w:val="none" w:sz="0" w:space="0" w:color="auto"/>
                <w:bottom w:val="none" w:sz="0" w:space="0" w:color="auto"/>
                <w:right w:val="none" w:sz="0" w:space="0" w:color="auto"/>
              </w:divBdr>
              <w:divsChild>
                <w:div w:id="19209593">
                  <w:marLeft w:val="0"/>
                  <w:marRight w:val="0"/>
                  <w:marTop w:val="0"/>
                  <w:marBottom w:val="0"/>
                  <w:divBdr>
                    <w:top w:val="none" w:sz="0" w:space="0" w:color="auto"/>
                    <w:left w:val="none" w:sz="0" w:space="0" w:color="auto"/>
                    <w:bottom w:val="none" w:sz="0" w:space="0" w:color="auto"/>
                    <w:right w:val="none" w:sz="0" w:space="0" w:color="auto"/>
                  </w:divBdr>
                </w:div>
              </w:divsChild>
            </w:div>
            <w:div w:id="160660749">
              <w:marLeft w:val="0"/>
              <w:marRight w:val="0"/>
              <w:marTop w:val="0"/>
              <w:marBottom w:val="0"/>
              <w:divBdr>
                <w:top w:val="none" w:sz="0" w:space="0" w:color="auto"/>
                <w:left w:val="none" w:sz="0" w:space="0" w:color="auto"/>
                <w:bottom w:val="none" w:sz="0" w:space="0" w:color="auto"/>
                <w:right w:val="none" w:sz="0" w:space="0" w:color="auto"/>
              </w:divBdr>
              <w:divsChild>
                <w:div w:id="350766996">
                  <w:marLeft w:val="0"/>
                  <w:marRight w:val="0"/>
                  <w:marTop w:val="0"/>
                  <w:marBottom w:val="0"/>
                  <w:divBdr>
                    <w:top w:val="none" w:sz="0" w:space="0" w:color="auto"/>
                    <w:left w:val="none" w:sz="0" w:space="0" w:color="auto"/>
                    <w:bottom w:val="none" w:sz="0" w:space="0" w:color="auto"/>
                    <w:right w:val="none" w:sz="0" w:space="0" w:color="auto"/>
                  </w:divBdr>
                </w:div>
              </w:divsChild>
            </w:div>
            <w:div w:id="1967075848">
              <w:marLeft w:val="0"/>
              <w:marRight w:val="0"/>
              <w:marTop w:val="0"/>
              <w:marBottom w:val="0"/>
              <w:divBdr>
                <w:top w:val="none" w:sz="0" w:space="0" w:color="auto"/>
                <w:left w:val="none" w:sz="0" w:space="0" w:color="auto"/>
                <w:bottom w:val="none" w:sz="0" w:space="0" w:color="auto"/>
                <w:right w:val="none" w:sz="0" w:space="0" w:color="auto"/>
              </w:divBdr>
              <w:divsChild>
                <w:div w:id="376666040">
                  <w:marLeft w:val="0"/>
                  <w:marRight w:val="0"/>
                  <w:marTop w:val="0"/>
                  <w:marBottom w:val="0"/>
                  <w:divBdr>
                    <w:top w:val="none" w:sz="0" w:space="0" w:color="auto"/>
                    <w:left w:val="none" w:sz="0" w:space="0" w:color="auto"/>
                    <w:bottom w:val="none" w:sz="0" w:space="0" w:color="auto"/>
                    <w:right w:val="none" w:sz="0" w:space="0" w:color="auto"/>
                  </w:divBdr>
                </w:div>
              </w:divsChild>
            </w:div>
            <w:div w:id="1556547084">
              <w:marLeft w:val="0"/>
              <w:marRight w:val="0"/>
              <w:marTop w:val="0"/>
              <w:marBottom w:val="0"/>
              <w:divBdr>
                <w:top w:val="none" w:sz="0" w:space="0" w:color="auto"/>
                <w:left w:val="none" w:sz="0" w:space="0" w:color="auto"/>
                <w:bottom w:val="none" w:sz="0" w:space="0" w:color="auto"/>
                <w:right w:val="none" w:sz="0" w:space="0" w:color="auto"/>
              </w:divBdr>
              <w:divsChild>
                <w:div w:id="270406216">
                  <w:marLeft w:val="0"/>
                  <w:marRight w:val="0"/>
                  <w:marTop w:val="0"/>
                  <w:marBottom w:val="0"/>
                  <w:divBdr>
                    <w:top w:val="none" w:sz="0" w:space="0" w:color="auto"/>
                    <w:left w:val="none" w:sz="0" w:space="0" w:color="auto"/>
                    <w:bottom w:val="none" w:sz="0" w:space="0" w:color="auto"/>
                    <w:right w:val="none" w:sz="0" w:space="0" w:color="auto"/>
                  </w:divBdr>
                </w:div>
              </w:divsChild>
            </w:div>
            <w:div w:id="93981903">
              <w:marLeft w:val="0"/>
              <w:marRight w:val="0"/>
              <w:marTop w:val="0"/>
              <w:marBottom w:val="0"/>
              <w:divBdr>
                <w:top w:val="none" w:sz="0" w:space="0" w:color="auto"/>
                <w:left w:val="none" w:sz="0" w:space="0" w:color="auto"/>
                <w:bottom w:val="none" w:sz="0" w:space="0" w:color="auto"/>
                <w:right w:val="none" w:sz="0" w:space="0" w:color="auto"/>
              </w:divBdr>
              <w:divsChild>
                <w:div w:id="721053667">
                  <w:marLeft w:val="0"/>
                  <w:marRight w:val="0"/>
                  <w:marTop w:val="0"/>
                  <w:marBottom w:val="0"/>
                  <w:divBdr>
                    <w:top w:val="none" w:sz="0" w:space="0" w:color="auto"/>
                    <w:left w:val="none" w:sz="0" w:space="0" w:color="auto"/>
                    <w:bottom w:val="none" w:sz="0" w:space="0" w:color="auto"/>
                    <w:right w:val="none" w:sz="0" w:space="0" w:color="auto"/>
                  </w:divBdr>
                </w:div>
              </w:divsChild>
            </w:div>
            <w:div w:id="1830827580">
              <w:marLeft w:val="0"/>
              <w:marRight w:val="0"/>
              <w:marTop w:val="0"/>
              <w:marBottom w:val="0"/>
              <w:divBdr>
                <w:top w:val="none" w:sz="0" w:space="0" w:color="auto"/>
                <w:left w:val="none" w:sz="0" w:space="0" w:color="auto"/>
                <w:bottom w:val="none" w:sz="0" w:space="0" w:color="auto"/>
                <w:right w:val="none" w:sz="0" w:space="0" w:color="auto"/>
              </w:divBdr>
              <w:divsChild>
                <w:div w:id="1739284643">
                  <w:marLeft w:val="0"/>
                  <w:marRight w:val="0"/>
                  <w:marTop w:val="0"/>
                  <w:marBottom w:val="0"/>
                  <w:divBdr>
                    <w:top w:val="none" w:sz="0" w:space="0" w:color="auto"/>
                    <w:left w:val="none" w:sz="0" w:space="0" w:color="auto"/>
                    <w:bottom w:val="none" w:sz="0" w:space="0" w:color="auto"/>
                    <w:right w:val="none" w:sz="0" w:space="0" w:color="auto"/>
                  </w:divBdr>
                </w:div>
              </w:divsChild>
            </w:div>
            <w:div w:id="691764687">
              <w:marLeft w:val="0"/>
              <w:marRight w:val="0"/>
              <w:marTop w:val="0"/>
              <w:marBottom w:val="0"/>
              <w:divBdr>
                <w:top w:val="none" w:sz="0" w:space="0" w:color="auto"/>
                <w:left w:val="none" w:sz="0" w:space="0" w:color="auto"/>
                <w:bottom w:val="none" w:sz="0" w:space="0" w:color="auto"/>
                <w:right w:val="none" w:sz="0" w:space="0" w:color="auto"/>
              </w:divBdr>
            </w:div>
            <w:div w:id="1986549709">
              <w:marLeft w:val="0"/>
              <w:marRight w:val="0"/>
              <w:marTop w:val="0"/>
              <w:marBottom w:val="0"/>
              <w:divBdr>
                <w:top w:val="none" w:sz="0" w:space="0" w:color="auto"/>
                <w:left w:val="none" w:sz="0" w:space="0" w:color="auto"/>
                <w:bottom w:val="none" w:sz="0" w:space="0" w:color="auto"/>
                <w:right w:val="none" w:sz="0" w:space="0" w:color="auto"/>
              </w:divBdr>
              <w:divsChild>
                <w:div w:id="684096145">
                  <w:marLeft w:val="0"/>
                  <w:marRight w:val="0"/>
                  <w:marTop w:val="0"/>
                  <w:marBottom w:val="0"/>
                  <w:divBdr>
                    <w:top w:val="none" w:sz="0" w:space="0" w:color="auto"/>
                    <w:left w:val="none" w:sz="0" w:space="0" w:color="auto"/>
                    <w:bottom w:val="none" w:sz="0" w:space="0" w:color="auto"/>
                    <w:right w:val="none" w:sz="0" w:space="0" w:color="auto"/>
                  </w:divBdr>
                </w:div>
                <w:div w:id="82924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1270</Words>
  <Characters>6991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Ministry of Foreign Affairs</Company>
  <LinksUpToDate>false</LinksUpToDate>
  <CharactersWithSpaces>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2022-05-09T15:19:00Z</dcterms:created>
  <dcterms:modified xsi:type="dcterms:W3CDTF">2022-05-09T15:38:00Z</dcterms:modified>
</cp:coreProperties>
</file>