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31D1D" w:rsidRPr="00931D1D" w:rsidRDefault="00D34885" w:rsidP="00931D1D">
      <w:pPr>
        <w:rPr>
          <w:rFonts w:ascii="Verdana" w:hAnsi="Verdana"/>
          <w:b/>
          <w:bCs/>
          <w:sz w:val="18"/>
          <w:szCs w:val="18"/>
        </w:rPr>
      </w:pPr>
      <w:r>
        <w:rPr>
          <w:rFonts w:ascii="Verdana" w:hAnsi="Verdana"/>
          <w:b/>
          <w:bCs/>
          <w:sz w:val="18"/>
          <w:szCs w:val="18"/>
        </w:rPr>
        <w:t>R</w:t>
      </w:r>
      <w:r w:rsidR="00931D1D" w:rsidRPr="00931D1D">
        <w:rPr>
          <w:rFonts w:ascii="Verdana" w:hAnsi="Verdana"/>
          <w:b/>
          <w:bCs/>
          <w:sz w:val="18"/>
          <w:szCs w:val="18"/>
        </w:rPr>
        <w:t>equest for expression of interest for selection # 1280573</w:t>
      </w:r>
    </w:p>
    <w:p w:rsidR="00931D1D" w:rsidRPr="00931D1D" w:rsidRDefault="00931D1D" w:rsidP="00931D1D">
      <w:pPr>
        <w:rPr>
          <w:rFonts w:ascii="Verdana" w:hAnsi="Verdana"/>
          <w:b/>
          <w:bCs/>
          <w:sz w:val="18"/>
          <w:szCs w:val="18"/>
        </w:rPr>
      </w:pPr>
      <w:r w:rsidRPr="00931D1D">
        <w:rPr>
          <w:rFonts w:ascii="Verdana" w:hAnsi="Verdana"/>
          <w:b/>
          <w:bCs/>
          <w:sz w:val="18"/>
          <w:szCs w:val="18"/>
        </w:rPr>
        <w:t>Assignment Title</w:t>
      </w:r>
    </w:p>
    <w:p w:rsidR="00931D1D" w:rsidRPr="00931D1D" w:rsidRDefault="00931D1D" w:rsidP="00931D1D">
      <w:pPr>
        <w:rPr>
          <w:rFonts w:ascii="Verdana" w:hAnsi="Verdana"/>
          <w:sz w:val="18"/>
          <w:szCs w:val="18"/>
        </w:rPr>
      </w:pPr>
      <w:r w:rsidRPr="00931D1D">
        <w:rPr>
          <w:rFonts w:ascii="Verdana" w:hAnsi="Verdana"/>
          <w:sz w:val="18"/>
          <w:szCs w:val="18"/>
        </w:rPr>
        <w:t>Resilience Check for Infrastructure Assets &amp; Land Based Developments</w:t>
      </w:r>
    </w:p>
    <w:p w:rsidR="00931D1D" w:rsidRPr="00931D1D" w:rsidRDefault="00931D1D" w:rsidP="00931D1D">
      <w:pPr>
        <w:rPr>
          <w:rFonts w:ascii="Verdana" w:hAnsi="Verdana"/>
          <w:b/>
          <w:bCs/>
          <w:sz w:val="18"/>
          <w:szCs w:val="18"/>
        </w:rPr>
      </w:pPr>
      <w:r w:rsidRPr="00931D1D">
        <w:rPr>
          <w:rFonts w:ascii="Verdana" w:hAnsi="Verdana"/>
          <w:b/>
          <w:bCs/>
          <w:sz w:val="18"/>
          <w:szCs w:val="18"/>
        </w:rPr>
        <w:t>Publication Date</w:t>
      </w:r>
    </w:p>
    <w:p w:rsidR="00931D1D" w:rsidRPr="00931D1D" w:rsidRDefault="00931D1D" w:rsidP="00931D1D">
      <w:pPr>
        <w:rPr>
          <w:rFonts w:ascii="Verdana" w:hAnsi="Verdana"/>
          <w:sz w:val="18"/>
          <w:szCs w:val="18"/>
        </w:rPr>
      </w:pPr>
      <w:r w:rsidRPr="00931D1D">
        <w:rPr>
          <w:rFonts w:ascii="Verdana" w:hAnsi="Verdana"/>
          <w:sz w:val="18"/>
          <w:szCs w:val="18"/>
        </w:rPr>
        <w:t> 21-Apr-2022</w:t>
      </w:r>
    </w:p>
    <w:p w:rsidR="00931D1D" w:rsidRPr="00931D1D" w:rsidRDefault="00931D1D" w:rsidP="00931D1D">
      <w:pPr>
        <w:rPr>
          <w:rFonts w:ascii="Verdana" w:hAnsi="Verdana"/>
          <w:b/>
          <w:bCs/>
          <w:sz w:val="18"/>
          <w:szCs w:val="18"/>
        </w:rPr>
      </w:pPr>
      <w:r w:rsidRPr="00931D1D">
        <w:rPr>
          <w:rFonts w:ascii="Verdana" w:hAnsi="Verdana"/>
          <w:b/>
          <w:bCs/>
          <w:sz w:val="18"/>
          <w:szCs w:val="18"/>
        </w:rPr>
        <w:t>Expression of Interest Deadline</w:t>
      </w:r>
    </w:p>
    <w:p w:rsidR="00931D1D" w:rsidRPr="00931D1D" w:rsidRDefault="00931D1D" w:rsidP="00931D1D">
      <w:pPr>
        <w:rPr>
          <w:rFonts w:ascii="Verdana" w:hAnsi="Verdana"/>
          <w:sz w:val="18"/>
          <w:szCs w:val="18"/>
        </w:rPr>
      </w:pPr>
      <w:r w:rsidRPr="00931D1D">
        <w:rPr>
          <w:rFonts w:ascii="Verdana" w:hAnsi="Verdana"/>
          <w:sz w:val="18"/>
          <w:szCs w:val="18"/>
        </w:rPr>
        <w:t> 09-May-2022 at 11:59:59 PM (Eastern Time – Washington D.C.)</w:t>
      </w:r>
    </w:p>
    <w:p w:rsidR="00931D1D" w:rsidRPr="00931D1D" w:rsidRDefault="00931D1D" w:rsidP="00931D1D">
      <w:pPr>
        <w:rPr>
          <w:rFonts w:ascii="Verdana" w:hAnsi="Verdana"/>
          <w:b/>
          <w:bCs/>
          <w:sz w:val="18"/>
          <w:szCs w:val="18"/>
        </w:rPr>
      </w:pPr>
      <w:r w:rsidRPr="00931D1D">
        <w:rPr>
          <w:rFonts w:ascii="Verdana" w:hAnsi="Verdana"/>
          <w:b/>
          <w:bCs/>
          <w:sz w:val="18"/>
          <w:szCs w:val="18"/>
        </w:rPr>
        <w:t>Language of Notice</w:t>
      </w:r>
    </w:p>
    <w:p w:rsidR="00931D1D" w:rsidRPr="00931D1D" w:rsidRDefault="00931D1D" w:rsidP="00931D1D">
      <w:pPr>
        <w:rPr>
          <w:rFonts w:ascii="Verdana" w:hAnsi="Verdana"/>
          <w:sz w:val="18"/>
          <w:szCs w:val="18"/>
        </w:rPr>
      </w:pPr>
      <w:r w:rsidRPr="00931D1D">
        <w:rPr>
          <w:rFonts w:ascii="Verdana" w:hAnsi="Verdana"/>
          <w:sz w:val="18"/>
          <w:szCs w:val="18"/>
        </w:rPr>
        <w:t> English</w:t>
      </w:r>
    </w:p>
    <w:p w:rsidR="00931D1D" w:rsidRPr="00931D1D" w:rsidRDefault="00931D1D" w:rsidP="00931D1D">
      <w:pPr>
        <w:rPr>
          <w:rFonts w:ascii="Verdana" w:hAnsi="Verdana"/>
          <w:sz w:val="18"/>
          <w:szCs w:val="18"/>
        </w:rPr>
      </w:pPr>
      <w:r w:rsidRPr="00931D1D">
        <w:rPr>
          <w:rFonts w:ascii="Verdana" w:hAnsi="Verdana"/>
          <w:sz w:val="18"/>
          <w:szCs w:val="18"/>
        </w:rPr>
        <w:t>Selection Notice</w:t>
      </w:r>
    </w:p>
    <w:p w:rsidR="00931D1D" w:rsidRPr="00931D1D" w:rsidRDefault="00931D1D" w:rsidP="00931D1D">
      <w:pPr>
        <w:rPr>
          <w:rFonts w:ascii="Verdana" w:hAnsi="Verdana"/>
          <w:b/>
          <w:bCs/>
          <w:sz w:val="18"/>
          <w:szCs w:val="18"/>
          <w:lang w:val="nl-NL"/>
        </w:rPr>
      </w:pPr>
      <w:r w:rsidRPr="00931D1D">
        <w:rPr>
          <w:rFonts w:ascii="Verdana" w:hAnsi="Verdana"/>
          <w:b/>
          <w:bCs/>
          <w:sz w:val="18"/>
          <w:szCs w:val="18"/>
          <w:lang w:val="nl-NL"/>
        </w:rPr>
        <w:t>Assignment Country</w:t>
      </w:r>
    </w:p>
    <w:p w:rsidR="00931D1D" w:rsidRPr="00931D1D" w:rsidRDefault="00931D1D" w:rsidP="00931D1D">
      <w:pPr>
        <w:numPr>
          <w:ilvl w:val="0"/>
          <w:numId w:val="1"/>
        </w:numPr>
        <w:rPr>
          <w:rFonts w:ascii="Verdana" w:hAnsi="Verdana"/>
          <w:sz w:val="18"/>
          <w:szCs w:val="18"/>
          <w:lang w:val="nl-NL"/>
        </w:rPr>
      </w:pPr>
      <w:r w:rsidRPr="00931D1D">
        <w:rPr>
          <w:rFonts w:ascii="Verdana" w:hAnsi="Verdana"/>
          <w:sz w:val="18"/>
          <w:szCs w:val="18"/>
          <w:lang w:val="nl-NL"/>
        </w:rPr>
        <w:t>No Countries Assigned</w:t>
      </w:r>
    </w:p>
    <w:p w:rsidR="00931D1D" w:rsidRPr="00931D1D" w:rsidRDefault="00931D1D" w:rsidP="00931D1D">
      <w:pPr>
        <w:rPr>
          <w:rFonts w:ascii="Verdana" w:hAnsi="Verdana"/>
          <w:b/>
          <w:bCs/>
          <w:sz w:val="18"/>
          <w:szCs w:val="18"/>
          <w:lang w:val="nl-NL"/>
        </w:rPr>
      </w:pPr>
      <w:r w:rsidRPr="00931D1D">
        <w:rPr>
          <w:rFonts w:ascii="Verdana" w:hAnsi="Verdana"/>
          <w:b/>
          <w:bCs/>
          <w:sz w:val="18"/>
          <w:szCs w:val="18"/>
          <w:lang w:val="nl-NL"/>
        </w:rPr>
        <w:t>Funding Sources</w:t>
      </w:r>
    </w:p>
    <w:p w:rsidR="00931D1D" w:rsidRPr="00931D1D" w:rsidRDefault="00931D1D" w:rsidP="00931D1D">
      <w:pPr>
        <w:rPr>
          <w:rFonts w:ascii="Verdana" w:hAnsi="Verdana"/>
          <w:sz w:val="18"/>
          <w:szCs w:val="18"/>
        </w:rPr>
      </w:pPr>
      <w:r w:rsidRPr="00931D1D">
        <w:rPr>
          <w:rFonts w:ascii="Verdana" w:hAnsi="Verdana"/>
          <w:sz w:val="18"/>
          <w:szCs w:val="18"/>
        </w:rPr>
        <w:t>The World Bank Group intends to finance the assignment/services under:</w:t>
      </w:r>
    </w:p>
    <w:p w:rsidR="00931D1D" w:rsidRPr="00931D1D" w:rsidRDefault="00931D1D" w:rsidP="00931D1D">
      <w:pPr>
        <w:numPr>
          <w:ilvl w:val="0"/>
          <w:numId w:val="2"/>
        </w:numPr>
        <w:rPr>
          <w:rFonts w:ascii="Verdana" w:hAnsi="Verdana"/>
          <w:sz w:val="18"/>
          <w:szCs w:val="18"/>
          <w:lang w:val="nl-NL"/>
        </w:rPr>
      </w:pPr>
      <w:r w:rsidRPr="00931D1D">
        <w:rPr>
          <w:rFonts w:ascii="Verdana" w:hAnsi="Verdana"/>
          <w:sz w:val="18"/>
          <w:szCs w:val="18"/>
          <w:lang w:val="nl-NL"/>
        </w:rPr>
        <w:t>BB - BANK BUDGET</w:t>
      </w:r>
    </w:p>
    <w:p w:rsidR="00931D1D" w:rsidRPr="00931D1D" w:rsidRDefault="00931D1D" w:rsidP="00931D1D">
      <w:pPr>
        <w:numPr>
          <w:ilvl w:val="0"/>
          <w:numId w:val="2"/>
        </w:numPr>
        <w:rPr>
          <w:rFonts w:ascii="Verdana" w:hAnsi="Verdana"/>
          <w:sz w:val="18"/>
          <w:szCs w:val="18"/>
          <w:lang w:val="nl-NL"/>
        </w:rPr>
      </w:pPr>
      <w:r w:rsidRPr="00931D1D">
        <w:rPr>
          <w:rFonts w:ascii="Verdana" w:hAnsi="Verdana"/>
          <w:sz w:val="18"/>
          <w:szCs w:val="18"/>
          <w:lang w:val="nl-NL"/>
        </w:rPr>
        <w:t>TF0B3552 - CRP Finance for Resilience</w:t>
      </w:r>
    </w:p>
    <w:p w:rsidR="00931D1D" w:rsidRPr="00931D1D" w:rsidRDefault="00931D1D" w:rsidP="00931D1D">
      <w:pPr>
        <w:rPr>
          <w:rFonts w:ascii="Verdana" w:hAnsi="Verdana"/>
          <w:b/>
          <w:bCs/>
          <w:sz w:val="18"/>
          <w:szCs w:val="18"/>
          <w:lang w:val="nl-NL"/>
        </w:rPr>
      </w:pPr>
      <w:r w:rsidRPr="00931D1D">
        <w:rPr>
          <w:rFonts w:ascii="Verdana" w:hAnsi="Verdana"/>
          <w:b/>
          <w:bCs/>
          <w:sz w:val="18"/>
          <w:szCs w:val="18"/>
          <w:lang w:val="nl-NL"/>
        </w:rPr>
        <w:t>Individual/Firm</w:t>
      </w:r>
    </w:p>
    <w:p w:rsidR="00931D1D" w:rsidRPr="00931D1D" w:rsidRDefault="00931D1D" w:rsidP="00931D1D">
      <w:pPr>
        <w:rPr>
          <w:rFonts w:ascii="Verdana" w:hAnsi="Verdana"/>
          <w:sz w:val="18"/>
          <w:szCs w:val="18"/>
        </w:rPr>
      </w:pPr>
      <w:r w:rsidRPr="00931D1D">
        <w:rPr>
          <w:rFonts w:ascii="Verdana" w:hAnsi="Verdana"/>
          <w:sz w:val="18"/>
          <w:szCs w:val="18"/>
        </w:rPr>
        <w:t>The consultant will be a firm.</w:t>
      </w:r>
    </w:p>
    <w:p w:rsidR="00931D1D" w:rsidRPr="00931D1D" w:rsidRDefault="00931D1D" w:rsidP="00931D1D">
      <w:pPr>
        <w:rPr>
          <w:rFonts w:ascii="Verdana" w:hAnsi="Verdana"/>
          <w:sz w:val="18"/>
          <w:szCs w:val="18"/>
          <w:lang w:val="nl-NL"/>
        </w:rPr>
      </w:pPr>
      <w:r w:rsidRPr="00931D1D">
        <w:rPr>
          <w:rFonts w:ascii="Verdana" w:hAnsi="Verdana"/>
          <w:sz w:val="18"/>
          <w:szCs w:val="18"/>
          <w:lang w:val="nl-NL"/>
        </w:rPr>
        <w:t>Assignment Description</w:t>
      </w:r>
    </w:p>
    <w:p w:rsidR="00931D1D" w:rsidRPr="00931D1D" w:rsidRDefault="00931D1D" w:rsidP="00931D1D">
      <w:pPr>
        <w:rPr>
          <w:rFonts w:ascii="Verdana" w:hAnsi="Verdana"/>
          <w:sz w:val="18"/>
          <w:szCs w:val="18"/>
        </w:rPr>
      </w:pPr>
      <w:bookmarkStart w:id="0" w:name="_GoBack"/>
      <w:r w:rsidRPr="00931D1D">
        <w:rPr>
          <w:rFonts w:ascii="Verdana" w:hAnsi="Verdana"/>
          <w:sz w:val="18"/>
          <w:szCs w:val="18"/>
        </w:rPr>
        <w:t>The World Bank Group's City Resilience Program (CRP) is seeking a firm with specialized experience in incorporating resilience to natural hazards and climate change into the transaction design for fully or partially privately financed construction or renovation of major infrastructure assets and development or redevelopment of land in urban areas.</w:t>
      </w:r>
      <w:r w:rsidRPr="00931D1D">
        <w:rPr>
          <w:rFonts w:ascii="Verdana" w:hAnsi="Verdana"/>
          <w:sz w:val="18"/>
          <w:szCs w:val="18"/>
        </w:rPr>
        <w:br/>
        <w:t>CRP does not intend to create a new knowledge resource; the focus is on developing an operational product that makes best use of existing toolkits to provide an actual service to WBG task teams.</w:t>
      </w:r>
      <w:bookmarkEnd w:id="0"/>
      <w:r w:rsidRPr="00931D1D">
        <w:rPr>
          <w:rFonts w:ascii="Verdana" w:hAnsi="Verdana"/>
          <w:sz w:val="18"/>
          <w:szCs w:val="18"/>
        </w:rPr>
        <w:br/>
      </w:r>
      <w:r w:rsidRPr="00931D1D">
        <w:rPr>
          <w:rFonts w:ascii="Verdana" w:hAnsi="Verdana"/>
          <w:sz w:val="18"/>
          <w:szCs w:val="18"/>
        </w:rPr>
        <w:br/>
        <w:t>The objectives of the assignment are to:</w:t>
      </w:r>
      <w:r w:rsidRPr="00931D1D">
        <w:rPr>
          <w:rFonts w:ascii="Verdana" w:hAnsi="Verdana"/>
          <w:sz w:val="18"/>
          <w:szCs w:val="18"/>
        </w:rPr>
        <w:br/>
      </w:r>
      <w:r w:rsidRPr="00931D1D">
        <w:rPr>
          <w:rFonts w:ascii="Verdana" w:hAnsi="Verdana"/>
          <w:sz w:val="18"/>
          <w:szCs w:val="18"/>
        </w:rPr>
        <w:br/>
        <w:t>- Review and further develop CRPs concept for a rapid assessment product to assess the degree to which resilience has been, or is being, incorporated into a transactions technical and commercial design, and deliver pragmatic recommendations as to how resilience could be enhanced within the constraints of the expected transaction. (Note: In the context of this assignment, a rapid assessment is one that can be completed by a team of approximately three experts in a period no longer than four weeks with part-time dedication.)</w:t>
      </w:r>
      <w:r w:rsidRPr="00931D1D">
        <w:rPr>
          <w:rFonts w:ascii="Verdana" w:hAnsi="Verdana"/>
          <w:sz w:val="18"/>
          <w:szCs w:val="18"/>
        </w:rPr>
        <w:br/>
      </w:r>
      <w:r w:rsidRPr="00931D1D">
        <w:rPr>
          <w:rFonts w:ascii="Verdana" w:hAnsi="Verdana"/>
          <w:sz w:val="18"/>
          <w:szCs w:val="18"/>
        </w:rPr>
        <w:br/>
        <w:t>- Test this product on two to four World Bank supported transactions currently under preparation (projects to be identified by CRP); these may include infrastructure asset portfolios across the water and sanitation, energy or transport sectors, or land-based developments related to river remediation or other land improvement investments.</w:t>
      </w:r>
      <w:r w:rsidRPr="00931D1D">
        <w:rPr>
          <w:rFonts w:ascii="Verdana" w:hAnsi="Verdana"/>
          <w:sz w:val="18"/>
          <w:szCs w:val="18"/>
        </w:rPr>
        <w:br/>
      </w:r>
      <w:r w:rsidRPr="00931D1D">
        <w:rPr>
          <w:rFonts w:ascii="Verdana" w:hAnsi="Verdana"/>
          <w:sz w:val="18"/>
          <w:szCs w:val="18"/>
        </w:rPr>
        <w:br/>
        <w:t xml:space="preserve">- Provide practical recommendations on how the product can be rolled out as a standard CRP offer, </w:t>
      </w:r>
      <w:r w:rsidRPr="00931D1D">
        <w:rPr>
          <w:rFonts w:ascii="Verdana" w:hAnsi="Verdana"/>
          <w:sz w:val="18"/>
          <w:szCs w:val="18"/>
        </w:rPr>
        <w:lastRenderedPageBreak/>
        <w:t>including provision of necessary documentation, open data resources availability and gaps, and communication materials.</w:t>
      </w:r>
      <w:r w:rsidRPr="00931D1D">
        <w:rPr>
          <w:rFonts w:ascii="Verdana" w:hAnsi="Verdana"/>
          <w:sz w:val="18"/>
          <w:szCs w:val="18"/>
        </w:rPr>
        <w:br/>
      </w:r>
      <w:r w:rsidRPr="00931D1D">
        <w:rPr>
          <w:rFonts w:ascii="Verdana" w:hAnsi="Verdana"/>
          <w:sz w:val="18"/>
          <w:szCs w:val="18"/>
        </w:rPr>
        <w:br/>
        <w:t>The assessment product should be applicable, albeit with differing levels of detail, across the transaction preparation lifecycle from initial concept to eventual close of the transaction itself. The product should focus on both resilience of the asset being transacted and resilience through the asset. Resilience considerations will cover a range of hazards including but not limited to climate, meteorological, and geological hazards. As a future step beyond the scope of this assignment the tool may be extended in the future to cover further climate and sustainability considerations.</w:t>
      </w:r>
      <w:r w:rsidRPr="00931D1D">
        <w:rPr>
          <w:rFonts w:ascii="Verdana" w:hAnsi="Verdana"/>
          <w:sz w:val="18"/>
          <w:szCs w:val="18"/>
        </w:rPr>
        <w:br/>
      </w:r>
      <w:r w:rsidRPr="00931D1D">
        <w:rPr>
          <w:rFonts w:ascii="Verdana" w:hAnsi="Verdana"/>
          <w:sz w:val="18"/>
          <w:szCs w:val="18"/>
        </w:rPr>
        <w:br/>
        <w:t>Key tasks will include:</w:t>
      </w:r>
      <w:r w:rsidRPr="00931D1D">
        <w:rPr>
          <w:rFonts w:ascii="Verdana" w:hAnsi="Verdana"/>
          <w:sz w:val="18"/>
          <w:szCs w:val="18"/>
        </w:rPr>
        <w:br/>
      </w:r>
      <w:r w:rsidRPr="00931D1D">
        <w:rPr>
          <w:rFonts w:ascii="Verdana" w:hAnsi="Verdana"/>
          <w:sz w:val="18"/>
          <w:szCs w:val="18"/>
        </w:rPr>
        <w:br/>
        <w:t>1. Review draft assessment product developed to date by CRP. This task will involve the following sub-tasks:</w:t>
      </w:r>
      <w:r w:rsidRPr="00931D1D">
        <w:rPr>
          <w:rFonts w:ascii="Verdana" w:hAnsi="Verdana"/>
          <w:sz w:val="18"/>
          <w:szCs w:val="18"/>
        </w:rPr>
        <w:br/>
      </w:r>
      <w:r w:rsidRPr="00931D1D">
        <w:rPr>
          <w:rFonts w:ascii="Verdana" w:hAnsi="Verdana"/>
          <w:sz w:val="18"/>
          <w:szCs w:val="18"/>
        </w:rPr>
        <w:br/>
        <w:t>a. Using the Consultants experience, best practice, and other guidance available, review the CRP draft assessment criteria to assess its suitability for application in the subsequent tasks of this assignment, including checking for duplication/overlap with any existing product/service offerings available to WBG task teams.</w:t>
      </w:r>
      <w:r w:rsidRPr="00931D1D">
        <w:rPr>
          <w:rFonts w:ascii="Verdana" w:hAnsi="Verdana"/>
          <w:sz w:val="18"/>
          <w:szCs w:val="18"/>
        </w:rPr>
        <w:br/>
      </w:r>
      <w:r w:rsidRPr="00931D1D">
        <w:rPr>
          <w:rFonts w:ascii="Verdana" w:hAnsi="Verdana"/>
          <w:sz w:val="18"/>
          <w:szCs w:val="18"/>
        </w:rPr>
        <w:br/>
        <w:t>b. Propose amendments to the assessment criteria to meet the objectives of this assignment, including potential simplification of the approach. Particularly, due consideration should be given to: i) the diverse nature of different types of investment; ii) how the methodology can be adapted for both infrastructure (e.g. public-private partnerships, and land based projects; and iii) assessing resilience through the asset and resilience of the asset. Private financing may be for capital investment, operation, or both.</w:t>
      </w:r>
      <w:r w:rsidRPr="00931D1D">
        <w:rPr>
          <w:rFonts w:ascii="Verdana" w:hAnsi="Verdana"/>
          <w:sz w:val="18"/>
          <w:szCs w:val="18"/>
        </w:rPr>
        <w:br/>
      </w:r>
      <w:r w:rsidRPr="00931D1D">
        <w:rPr>
          <w:rFonts w:ascii="Verdana" w:hAnsi="Verdana"/>
          <w:sz w:val="18"/>
          <w:szCs w:val="18"/>
        </w:rPr>
        <w:br/>
        <w:t>2. Piloting the revised assessment criteria as appropriate on at least two to four asset portfolios and their transaction design belonging to different infrastructure sectors. At least one of these projects should be one expected to be delivered as a PPP arrangement, and one as a land-based investment. This will involve:</w:t>
      </w:r>
      <w:r w:rsidRPr="00931D1D">
        <w:rPr>
          <w:rFonts w:ascii="Verdana" w:hAnsi="Verdana"/>
          <w:sz w:val="18"/>
          <w:szCs w:val="18"/>
        </w:rPr>
        <w:br/>
      </w:r>
      <w:r w:rsidRPr="00931D1D">
        <w:rPr>
          <w:rFonts w:ascii="Verdana" w:hAnsi="Verdana"/>
          <w:sz w:val="18"/>
          <w:szCs w:val="18"/>
        </w:rPr>
        <w:br/>
        <w:t>a. Applying the revised methodology to check the resilience of selected infrastructure asset portfolios.</w:t>
      </w:r>
      <w:r w:rsidRPr="00931D1D">
        <w:rPr>
          <w:rFonts w:ascii="Verdana" w:hAnsi="Verdana"/>
          <w:sz w:val="18"/>
          <w:szCs w:val="18"/>
        </w:rPr>
        <w:br/>
      </w:r>
      <w:r w:rsidRPr="00931D1D">
        <w:rPr>
          <w:rFonts w:ascii="Verdana" w:hAnsi="Verdana"/>
          <w:sz w:val="18"/>
          <w:szCs w:val="18"/>
        </w:rPr>
        <w:br/>
        <w:t>b. Providing recommendations on how resilience of the asset portfolio can be enhanced within the constraints of the transaction. This can be in relation to adjustments to the project preparation design and procurement provisions, among others.</w:t>
      </w:r>
      <w:r w:rsidRPr="00931D1D">
        <w:rPr>
          <w:rFonts w:ascii="Verdana" w:hAnsi="Verdana"/>
          <w:sz w:val="18"/>
          <w:szCs w:val="18"/>
        </w:rPr>
        <w:br/>
      </w:r>
      <w:r w:rsidRPr="00931D1D">
        <w:rPr>
          <w:rFonts w:ascii="Verdana" w:hAnsi="Verdana"/>
          <w:sz w:val="18"/>
          <w:szCs w:val="18"/>
        </w:rPr>
        <w:br/>
        <w:t>c. Confirming the suitability of the assessment criteria and, if necessary, adjusting it in line with the findings of Task 2a above.</w:t>
      </w:r>
      <w:r w:rsidRPr="00931D1D">
        <w:rPr>
          <w:rFonts w:ascii="Verdana" w:hAnsi="Verdana"/>
          <w:sz w:val="18"/>
          <w:szCs w:val="18"/>
        </w:rPr>
        <w:br/>
      </w:r>
      <w:r w:rsidRPr="00931D1D">
        <w:rPr>
          <w:rFonts w:ascii="Verdana" w:hAnsi="Verdana"/>
          <w:sz w:val="18"/>
          <w:szCs w:val="18"/>
        </w:rPr>
        <w:br/>
        <w:t>3. Developing documentation to allow the criteria to be delivered as a standard CRP product by a range of providers.</w:t>
      </w:r>
      <w:r w:rsidRPr="00931D1D">
        <w:rPr>
          <w:rFonts w:ascii="Verdana" w:hAnsi="Verdana"/>
          <w:sz w:val="18"/>
          <w:szCs w:val="18"/>
        </w:rPr>
        <w:br/>
      </w:r>
      <w:r w:rsidRPr="00931D1D">
        <w:rPr>
          <w:rFonts w:ascii="Verdana" w:hAnsi="Verdana"/>
          <w:sz w:val="18"/>
          <w:szCs w:val="18"/>
        </w:rPr>
        <w:br/>
        <w:t>4. Providing communication materials for CRP to disseminate the product across the World Bank Group (WBG).</w:t>
      </w:r>
      <w:r w:rsidRPr="00931D1D">
        <w:rPr>
          <w:rFonts w:ascii="Verdana" w:hAnsi="Verdana"/>
          <w:sz w:val="18"/>
          <w:szCs w:val="18"/>
        </w:rPr>
        <w:br/>
      </w:r>
      <w:r w:rsidRPr="00931D1D">
        <w:rPr>
          <w:rFonts w:ascii="Verdana" w:hAnsi="Verdana"/>
          <w:sz w:val="18"/>
          <w:szCs w:val="18"/>
        </w:rPr>
        <w:br/>
        <w:t>The success of the assignment will be judged on its timely delivery in a way that provides CRP with a pragmatic, practical product that can readily be rolled out to meet the needs of WBG Task Teams to further embed resilience into their project designs.</w:t>
      </w:r>
      <w:r w:rsidRPr="00931D1D">
        <w:rPr>
          <w:rFonts w:ascii="Verdana" w:hAnsi="Verdana"/>
          <w:sz w:val="18"/>
          <w:szCs w:val="18"/>
        </w:rPr>
        <w:br/>
      </w:r>
      <w:r w:rsidRPr="00931D1D">
        <w:rPr>
          <w:rFonts w:ascii="Verdana" w:hAnsi="Verdana"/>
          <w:sz w:val="18"/>
          <w:szCs w:val="18"/>
        </w:rPr>
        <w:br/>
        <w:t>If you encounter technical difficulties while uploading documents, please send an e-mail to the Help Desk at wbgeconsultant@worldbank.org.</w:t>
      </w:r>
      <w:r w:rsidRPr="00931D1D">
        <w:rPr>
          <w:rFonts w:ascii="Verdana" w:hAnsi="Verdana"/>
          <w:sz w:val="18"/>
          <w:szCs w:val="18"/>
        </w:rPr>
        <w:br/>
      </w:r>
      <w:r w:rsidRPr="00931D1D">
        <w:rPr>
          <w:rFonts w:ascii="Verdana" w:hAnsi="Verdana"/>
          <w:sz w:val="18"/>
          <w:szCs w:val="18"/>
        </w:rPr>
        <w:lastRenderedPageBreak/>
        <w:br/>
        <w:t>THE WORLD BANK WILL REVIEW ONLY THE FIRST 20 PAGES OF ANY SUBMISSIONS.</w:t>
      </w:r>
    </w:p>
    <w:p w:rsidR="00931D1D" w:rsidRPr="00931D1D" w:rsidRDefault="00931D1D" w:rsidP="00931D1D">
      <w:pPr>
        <w:rPr>
          <w:rFonts w:ascii="Verdana" w:hAnsi="Verdana"/>
          <w:sz w:val="18"/>
          <w:szCs w:val="18"/>
          <w:lang w:val="nl-NL"/>
        </w:rPr>
      </w:pPr>
      <w:r w:rsidRPr="00931D1D">
        <w:rPr>
          <w:rFonts w:ascii="Verdana" w:hAnsi="Verdana"/>
          <w:sz w:val="18"/>
          <w:szCs w:val="18"/>
          <w:lang w:val="nl-NL"/>
        </w:rPr>
        <w:t>Qualification Criteria</w:t>
      </w:r>
    </w:p>
    <w:p w:rsidR="00931D1D" w:rsidRPr="00931D1D" w:rsidRDefault="00931D1D" w:rsidP="00931D1D">
      <w:pPr>
        <w:numPr>
          <w:ilvl w:val="0"/>
          <w:numId w:val="3"/>
        </w:numPr>
        <w:rPr>
          <w:rFonts w:ascii="Verdana" w:hAnsi="Verdana"/>
          <w:sz w:val="18"/>
          <w:szCs w:val="18"/>
        </w:rPr>
      </w:pPr>
      <w:r w:rsidRPr="00931D1D">
        <w:rPr>
          <w:rFonts w:ascii="Verdana" w:hAnsi="Verdana"/>
          <w:b/>
          <w:bCs/>
          <w:sz w:val="18"/>
          <w:szCs w:val="18"/>
        </w:rPr>
        <w:t>1.</w:t>
      </w:r>
      <w:r w:rsidRPr="00931D1D">
        <w:rPr>
          <w:rFonts w:ascii="Verdana" w:hAnsi="Verdana"/>
          <w:sz w:val="18"/>
          <w:szCs w:val="18"/>
        </w:rPr>
        <w:t> Provide information showing that they are qualified in the key fields of the assignment (see EOI) *</w:t>
      </w:r>
    </w:p>
    <w:p w:rsidR="00931D1D" w:rsidRPr="00931D1D" w:rsidRDefault="00931D1D" w:rsidP="00931D1D">
      <w:pPr>
        <w:numPr>
          <w:ilvl w:val="0"/>
          <w:numId w:val="3"/>
        </w:numPr>
        <w:rPr>
          <w:rFonts w:ascii="Verdana" w:hAnsi="Verdana"/>
          <w:sz w:val="18"/>
          <w:szCs w:val="18"/>
        </w:rPr>
      </w:pPr>
      <w:r w:rsidRPr="00931D1D">
        <w:rPr>
          <w:rFonts w:ascii="Verdana" w:hAnsi="Verdana"/>
          <w:b/>
          <w:bCs/>
          <w:sz w:val="18"/>
          <w:szCs w:val="18"/>
        </w:rPr>
        <w:t>2.</w:t>
      </w:r>
      <w:r w:rsidRPr="00931D1D">
        <w:rPr>
          <w:rFonts w:ascii="Verdana" w:hAnsi="Verdana"/>
          <w:sz w:val="18"/>
          <w:szCs w:val="18"/>
        </w:rPr>
        <w:t> Provide information showing their demonstrated experience working in similar contexts (see EOI) *</w:t>
      </w:r>
    </w:p>
    <w:p w:rsidR="00931D1D" w:rsidRPr="00931D1D" w:rsidRDefault="00931D1D" w:rsidP="00931D1D">
      <w:pPr>
        <w:numPr>
          <w:ilvl w:val="0"/>
          <w:numId w:val="3"/>
        </w:numPr>
        <w:rPr>
          <w:rFonts w:ascii="Verdana" w:hAnsi="Verdana"/>
          <w:sz w:val="18"/>
          <w:szCs w:val="18"/>
        </w:rPr>
      </w:pPr>
      <w:r w:rsidRPr="00931D1D">
        <w:rPr>
          <w:rFonts w:ascii="Verdana" w:hAnsi="Verdana"/>
          <w:b/>
          <w:bCs/>
          <w:sz w:val="18"/>
          <w:szCs w:val="18"/>
        </w:rPr>
        <w:t>3.</w:t>
      </w:r>
      <w:r w:rsidRPr="00931D1D">
        <w:rPr>
          <w:rFonts w:ascii="Verdana" w:hAnsi="Verdana"/>
          <w:sz w:val="18"/>
          <w:szCs w:val="18"/>
        </w:rPr>
        <w:t> Provide information on the qualifications of key staff as related to the key fields of the assignment (see EOI) *</w:t>
      </w:r>
    </w:p>
    <w:p w:rsidR="00931D1D" w:rsidRPr="00931D1D" w:rsidRDefault="00931D1D" w:rsidP="00931D1D">
      <w:pPr>
        <w:numPr>
          <w:ilvl w:val="0"/>
          <w:numId w:val="3"/>
        </w:numPr>
        <w:rPr>
          <w:rFonts w:ascii="Verdana" w:hAnsi="Verdana"/>
          <w:sz w:val="18"/>
          <w:szCs w:val="18"/>
        </w:rPr>
      </w:pPr>
      <w:r w:rsidRPr="00931D1D">
        <w:rPr>
          <w:rFonts w:ascii="Verdana" w:hAnsi="Verdana"/>
          <w:b/>
          <w:bCs/>
          <w:sz w:val="18"/>
          <w:szCs w:val="18"/>
        </w:rPr>
        <w:t>4.</w:t>
      </w:r>
      <w:r w:rsidRPr="00931D1D">
        <w:rPr>
          <w:rFonts w:ascii="Verdana" w:hAnsi="Verdana"/>
          <w:sz w:val="18"/>
          <w:szCs w:val="18"/>
        </w:rPr>
        <w:t> Provide information on their core business and years in business *</w:t>
      </w:r>
    </w:p>
    <w:p w:rsidR="00931D1D" w:rsidRPr="00931D1D" w:rsidRDefault="00931D1D" w:rsidP="00931D1D">
      <w:pPr>
        <w:numPr>
          <w:ilvl w:val="0"/>
          <w:numId w:val="3"/>
        </w:numPr>
        <w:rPr>
          <w:rFonts w:ascii="Verdana" w:hAnsi="Verdana"/>
          <w:sz w:val="18"/>
          <w:szCs w:val="18"/>
        </w:rPr>
      </w:pPr>
      <w:r w:rsidRPr="00931D1D">
        <w:rPr>
          <w:rFonts w:ascii="Verdana" w:hAnsi="Verdana"/>
          <w:b/>
          <w:bCs/>
          <w:sz w:val="18"/>
          <w:szCs w:val="18"/>
        </w:rPr>
        <w:t>5.</w:t>
      </w:r>
      <w:r w:rsidRPr="00931D1D">
        <w:rPr>
          <w:rFonts w:ascii="Verdana" w:hAnsi="Verdana"/>
          <w:sz w:val="18"/>
          <w:szCs w:val="18"/>
        </w:rPr>
        <w:t> Provide information on the technical and managerial capabilities of the firm *</w:t>
      </w:r>
    </w:p>
    <w:p w:rsidR="00931D1D" w:rsidRPr="00931D1D" w:rsidRDefault="00931D1D" w:rsidP="00931D1D">
      <w:pPr>
        <w:rPr>
          <w:rFonts w:ascii="Verdana" w:hAnsi="Verdana"/>
          <w:i/>
          <w:iCs/>
          <w:sz w:val="18"/>
          <w:szCs w:val="18"/>
          <w:lang w:val="nl-NL"/>
        </w:rPr>
      </w:pPr>
      <w:r w:rsidRPr="00931D1D">
        <w:rPr>
          <w:rFonts w:ascii="Verdana" w:hAnsi="Verdana"/>
          <w:i/>
          <w:iCs/>
          <w:sz w:val="18"/>
          <w:szCs w:val="18"/>
          <w:lang w:val="nl-NL"/>
        </w:rPr>
        <w:t>* - Mandatory</w:t>
      </w:r>
    </w:p>
    <w:p w:rsidR="00895661" w:rsidRPr="00B902C5" w:rsidRDefault="00895661">
      <w:pPr>
        <w:rPr>
          <w:rFonts w:ascii="Verdana" w:hAnsi="Verdana"/>
          <w:sz w:val="18"/>
          <w:szCs w:val="18"/>
        </w:rPr>
      </w:pP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2E6FF7"/>
    <w:multiLevelType w:val="multilevel"/>
    <w:tmpl w:val="5740C2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B2110FC"/>
    <w:multiLevelType w:val="multilevel"/>
    <w:tmpl w:val="860C1C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31A6144"/>
    <w:multiLevelType w:val="multilevel"/>
    <w:tmpl w:val="71CC31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147"/>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31D1D"/>
    <w:rsid w:val="004D4DDF"/>
    <w:rsid w:val="006F6E3E"/>
    <w:rsid w:val="00895661"/>
    <w:rsid w:val="00931D1D"/>
    <w:rsid w:val="00B902C5"/>
    <w:rsid w:val="00D3488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223BDF"/>
  <w15:chartTrackingRefBased/>
  <w15:docId w15:val="{0F0FF19D-8653-4C95-B8FE-42430FC56B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05016475">
      <w:bodyDiv w:val="1"/>
      <w:marLeft w:val="0"/>
      <w:marRight w:val="0"/>
      <w:marTop w:val="0"/>
      <w:marBottom w:val="0"/>
      <w:divBdr>
        <w:top w:val="none" w:sz="0" w:space="0" w:color="auto"/>
        <w:left w:val="none" w:sz="0" w:space="0" w:color="auto"/>
        <w:bottom w:val="none" w:sz="0" w:space="0" w:color="auto"/>
        <w:right w:val="none" w:sz="0" w:space="0" w:color="auto"/>
      </w:divBdr>
      <w:divsChild>
        <w:div w:id="997465332">
          <w:marLeft w:val="0"/>
          <w:marRight w:val="0"/>
          <w:marTop w:val="0"/>
          <w:marBottom w:val="0"/>
          <w:divBdr>
            <w:top w:val="single" w:sz="6" w:space="6" w:color="999999"/>
            <w:left w:val="single" w:sz="6" w:space="30" w:color="999999"/>
            <w:bottom w:val="single" w:sz="6" w:space="0" w:color="999999"/>
            <w:right w:val="single" w:sz="6" w:space="0" w:color="999999"/>
          </w:divBdr>
        </w:div>
        <w:div w:id="1730641312">
          <w:marLeft w:val="0"/>
          <w:marRight w:val="0"/>
          <w:marTop w:val="300"/>
          <w:marBottom w:val="0"/>
          <w:divBdr>
            <w:top w:val="none" w:sz="0" w:space="0" w:color="auto"/>
            <w:left w:val="none" w:sz="0" w:space="0" w:color="auto"/>
            <w:bottom w:val="none" w:sz="0" w:space="0" w:color="auto"/>
            <w:right w:val="none" w:sz="0" w:space="0" w:color="auto"/>
          </w:divBdr>
          <w:divsChild>
            <w:div w:id="1300958768">
              <w:marLeft w:val="0"/>
              <w:marRight w:val="0"/>
              <w:marTop w:val="0"/>
              <w:marBottom w:val="0"/>
              <w:divBdr>
                <w:top w:val="none" w:sz="0" w:space="0" w:color="auto"/>
                <w:left w:val="none" w:sz="0" w:space="0" w:color="auto"/>
                <w:bottom w:val="none" w:sz="0" w:space="0" w:color="auto"/>
                <w:right w:val="none" w:sz="0" w:space="0" w:color="auto"/>
              </w:divBdr>
              <w:divsChild>
                <w:div w:id="1471632115">
                  <w:marLeft w:val="0"/>
                  <w:marRight w:val="0"/>
                  <w:marTop w:val="0"/>
                  <w:marBottom w:val="0"/>
                  <w:divBdr>
                    <w:top w:val="none" w:sz="0" w:space="0" w:color="auto"/>
                    <w:left w:val="none" w:sz="0" w:space="0" w:color="auto"/>
                    <w:bottom w:val="none" w:sz="0" w:space="0" w:color="auto"/>
                    <w:right w:val="none" w:sz="0" w:space="0" w:color="auto"/>
                  </w:divBdr>
                </w:div>
              </w:divsChild>
            </w:div>
            <w:div w:id="1698384546">
              <w:marLeft w:val="0"/>
              <w:marRight w:val="0"/>
              <w:marTop w:val="0"/>
              <w:marBottom w:val="0"/>
              <w:divBdr>
                <w:top w:val="none" w:sz="0" w:space="0" w:color="auto"/>
                <w:left w:val="none" w:sz="0" w:space="0" w:color="auto"/>
                <w:bottom w:val="none" w:sz="0" w:space="0" w:color="auto"/>
                <w:right w:val="none" w:sz="0" w:space="0" w:color="auto"/>
              </w:divBdr>
              <w:divsChild>
                <w:div w:id="1217469922">
                  <w:marLeft w:val="0"/>
                  <w:marRight w:val="0"/>
                  <w:marTop w:val="0"/>
                  <w:marBottom w:val="0"/>
                  <w:divBdr>
                    <w:top w:val="none" w:sz="0" w:space="0" w:color="auto"/>
                    <w:left w:val="none" w:sz="0" w:space="0" w:color="auto"/>
                    <w:bottom w:val="none" w:sz="0" w:space="0" w:color="auto"/>
                    <w:right w:val="none" w:sz="0" w:space="0" w:color="auto"/>
                  </w:divBdr>
                </w:div>
              </w:divsChild>
            </w:div>
            <w:div w:id="292173664">
              <w:marLeft w:val="0"/>
              <w:marRight w:val="0"/>
              <w:marTop w:val="0"/>
              <w:marBottom w:val="0"/>
              <w:divBdr>
                <w:top w:val="none" w:sz="0" w:space="0" w:color="auto"/>
                <w:left w:val="none" w:sz="0" w:space="0" w:color="auto"/>
                <w:bottom w:val="none" w:sz="0" w:space="0" w:color="auto"/>
                <w:right w:val="none" w:sz="0" w:space="0" w:color="auto"/>
              </w:divBdr>
              <w:divsChild>
                <w:div w:id="1297376417">
                  <w:marLeft w:val="0"/>
                  <w:marRight w:val="0"/>
                  <w:marTop w:val="0"/>
                  <w:marBottom w:val="0"/>
                  <w:divBdr>
                    <w:top w:val="none" w:sz="0" w:space="0" w:color="auto"/>
                    <w:left w:val="none" w:sz="0" w:space="0" w:color="auto"/>
                    <w:bottom w:val="none" w:sz="0" w:space="0" w:color="auto"/>
                    <w:right w:val="none" w:sz="0" w:space="0" w:color="auto"/>
                  </w:divBdr>
                </w:div>
              </w:divsChild>
            </w:div>
            <w:div w:id="1972439454">
              <w:marLeft w:val="0"/>
              <w:marRight w:val="0"/>
              <w:marTop w:val="0"/>
              <w:marBottom w:val="0"/>
              <w:divBdr>
                <w:top w:val="none" w:sz="0" w:space="0" w:color="auto"/>
                <w:left w:val="none" w:sz="0" w:space="0" w:color="auto"/>
                <w:bottom w:val="none" w:sz="0" w:space="0" w:color="auto"/>
                <w:right w:val="none" w:sz="0" w:space="0" w:color="auto"/>
              </w:divBdr>
              <w:divsChild>
                <w:div w:id="2146845674">
                  <w:marLeft w:val="0"/>
                  <w:marRight w:val="0"/>
                  <w:marTop w:val="0"/>
                  <w:marBottom w:val="0"/>
                  <w:divBdr>
                    <w:top w:val="none" w:sz="0" w:space="0" w:color="auto"/>
                    <w:left w:val="none" w:sz="0" w:space="0" w:color="auto"/>
                    <w:bottom w:val="none" w:sz="0" w:space="0" w:color="auto"/>
                    <w:right w:val="none" w:sz="0" w:space="0" w:color="auto"/>
                  </w:divBdr>
                </w:div>
              </w:divsChild>
            </w:div>
            <w:div w:id="1954899440">
              <w:marLeft w:val="0"/>
              <w:marRight w:val="0"/>
              <w:marTop w:val="0"/>
              <w:marBottom w:val="0"/>
              <w:divBdr>
                <w:top w:val="none" w:sz="0" w:space="0" w:color="auto"/>
                <w:left w:val="none" w:sz="0" w:space="0" w:color="auto"/>
                <w:bottom w:val="none" w:sz="0" w:space="0" w:color="auto"/>
                <w:right w:val="none" w:sz="0" w:space="0" w:color="auto"/>
              </w:divBdr>
              <w:divsChild>
                <w:div w:id="168444282">
                  <w:marLeft w:val="0"/>
                  <w:marRight w:val="0"/>
                  <w:marTop w:val="0"/>
                  <w:marBottom w:val="0"/>
                  <w:divBdr>
                    <w:top w:val="none" w:sz="0" w:space="0" w:color="auto"/>
                    <w:left w:val="none" w:sz="0" w:space="0" w:color="auto"/>
                    <w:bottom w:val="none" w:sz="0" w:space="0" w:color="auto"/>
                    <w:right w:val="none" w:sz="0" w:space="0" w:color="auto"/>
                  </w:divBdr>
                </w:div>
              </w:divsChild>
            </w:div>
            <w:div w:id="1390377327">
              <w:marLeft w:val="0"/>
              <w:marRight w:val="0"/>
              <w:marTop w:val="0"/>
              <w:marBottom w:val="0"/>
              <w:divBdr>
                <w:top w:val="none" w:sz="0" w:space="0" w:color="auto"/>
                <w:left w:val="none" w:sz="0" w:space="0" w:color="auto"/>
                <w:bottom w:val="none" w:sz="0" w:space="0" w:color="auto"/>
                <w:right w:val="none" w:sz="0" w:space="0" w:color="auto"/>
              </w:divBdr>
              <w:divsChild>
                <w:div w:id="1206530747">
                  <w:marLeft w:val="0"/>
                  <w:marRight w:val="0"/>
                  <w:marTop w:val="0"/>
                  <w:marBottom w:val="0"/>
                  <w:divBdr>
                    <w:top w:val="none" w:sz="0" w:space="0" w:color="auto"/>
                    <w:left w:val="none" w:sz="0" w:space="0" w:color="auto"/>
                    <w:bottom w:val="none" w:sz="0" w:space="0" w:color="auto"/>
                    <w:right w:val="none" w:sz="0" w:space="0" w:color="auto"/>
                  </w:divBdr>
                </w:div>
              </w:divsChild>
            </w:div>
            <w:div w:id="1133249548">
              <w:marLeft w:val="0"/>
              <w:marRight w:val="0"/>
              <w:marTop w:val="0"/>
              <w:marBottom w:val="0"/>
              <w:divBdr>
                <w:top w:val="none" w:sz="0" w:space="0" w:color="auto"/>
                <w:left w:val="none" w:sz="0" w:space="0" w:color="auto"/>
                <w:bottom w:val="none" w:sz="0" w:space="0" w:color="auto"/>
                <w:right w:val="none" w:sz="0" w:space="0" w:color="auto"/>
              </w:divBdr>
              <w:divsChild>
                <w:div w:id="1581330584">
                  <w:marLeft w:val="0"/>
                  <w:marRight w:val="0"/>
                  <w:marTop w:val="0"/>
                  <w:marBottom w:val="0"/>
                  <w:divBdr>
                    <w:top w:val="none" w:sz="0" w:space="0" w:color="auto"/>
                    <w:left w:val="none" w:sz="0" w:space="0" w:color="auto"/>
                    <w:bottom w:val="none" w:sz="0" w:space="0" w:color="auto"/>
                    <w:right w:val="none" w:sz="0" w:space="0" w:color="auto"/>
                  </w:divBdr>
                </w:div>
              </w:divsChild>
            </w:div>
            <w:div w:id="168297510">
              <w:marLeft w:val="0"/>
              <w:marRight w:val="0"/>
              <w:marTop w:val="0"/>
              <w:marBottom w:val="0"/>
              <w:divBdr>
                <w:top w:val="none" w:sz="0" w:space="0" w:color="auto"/>
                <w:left w:val="none" w:sz="0" w:space="0" w:color="auto"/>
                <w:bottom w:val="none" w:sz="0" w:space="0" w:color="auto"/>
                <w:right w:val="none" w:sz="0" w:space="0" w:color="auto"/>
              </w:divBdr>
              <w:divsChild>
                <w:div w:id="1194614537">
                  <w:marLeft w:val="0"/>
                  <w:marRight w:val="0"/>
                  <w:marTop w:val="0"/>
                  <w:marBottom w:val="0"/>
                  <w:divBdr>
                    <w:top w:val="none" w:sz="0" w:space="0" w:color="auto"/>
                    <w:left w:val="none" w:sz="0" w:space="0" w:color="auto"/>
                    <w:bottom w:val="none" w:sz="0" w:space="0" w:color="auto"/>
                    <w:right w:val="none" w:sz="0" w:space="0" w:color="auto"/>
                  </w:divBdr>
                </w:div>
              </w:divsChild>
            </w:div>
            <w:div w:id="645277317">
              <w:marLeft w:val="0"/>
              <w:marRight w:val="0"/>
              <w:marTop w:val="0"/>
              <w:marBottom w:val="0"/>
              <w:divBdr>
                <w:top w:val="none" w:sz="0" w:space="0" w:color="auto"/>
                <w:left w:val="none" w:sz="0" w:space="0" w:color="auto"/>
                <w:bottom w:val="none" w:sz="0" w:space="0" w:color="auto"/>
                <w:right w:val="none" w:sz="0" w:space="0" w:color="auto"/>
              </w:divBdr>
            </w:div>
            <w:div w:id="1582711168">
              <w:marLeft w:val="0"/>
              <w:marRight w:val="0"/>
              <w:marTop w:val="0"/>
              <w:marBottom w:val="0"/>
              <w:divBdr>
                <w:top w:val="none" w:sz="0" w:space="0" w:color="auto"/>
                <w:left w:val="none" w:sz="0" w:space="0" w:color="auto"/>
                <w:bottom w:val="none" w:sz="0" w:space="0" w:color="auto"/>
                <w:right w:val="none" w:sz="0" w:space="0" w:color="auto"/>
              </w:divBdr>
              <w:divsChild>
                <w:div w:id="808477024">
                  <w:marLeft w:val="0"/>
                  <w:marRight w:val="0"/>
                  <w:marTop w:val="0"/>
                  <w:marBottom w:val="0"/>
                  <w:divBdr>
                    <w:top w:val="none" w:sz="0" w:space="0" w:color="auto"/>
                    <w:left w:val="none" w:sz="0" w:space="0" w:color="auto"/>
                    <w:bottom w:val="none" w:sz="0" w:space="0" w:color="auto"/>
                    <w:right w:val="none" w:sz="0" w:space="0" w:color="auto"/>
                  </w:divBdr>
                </w:div>
                <w:div w:id="1332834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4001343">
      <w:bodyDiv w:val="1"/>
      <w:marLeft w:val="0"/>
      <w:marRight w:val="0"/>
      <w:marTop w:val="0"/>
      <w:marBottom w:val="0"/>
      <w:divBdr>
        <w:top w:val="none" w:sz="0" w:space="0" w:color="auto"/>
        <w:left w:val="none" w:sz="0" w:space="0" w:color="auto"/>
        <w:bottom w:val="none" w:sz="0" w:space="0" w:color="auto"/>
        <w:right w:val="none" w:sz="0" w:space="0" w:color="auto"/>
      </w:divBdr>
      <w:divsChild>
        <w:div w:id="1240142016">
          <w:marLeft w:val="0"/>
          <w:marRight w:val="0"/>
          <w:marTop w:val="0"/>
          <w:marBottom w:val="0"/>
          <w:divBdr>
            <w:top w:val="single" w:sz="6" w:space="6" w:color="999999"/>
            <w:left w:val="single" w:sz="6" w:space="30" w:color="999999"/>
            <w:bottom w:val="single" w:sz="6" w:space="0" w:color="999999"/>
            <w:right w:val="single" w:sz="6" w:space="0" w:color="999999"/>
          </w:divBdr>
        </w:div>
        <w:div w:id="534119850">
          <w:marLeft w:val="0"/>
          <w:marRight w:val="0"/>
          <w:marTop w:val="300"/>
          <w:marBottom w:val="0"/>
          <w:divBdr>
            <w:top w:val="none" w:sz="0" w:space="0" w:color="auto"/>
            <w:left w:val="none" w:sz="0" w:space="0" w:color="auto"/>
            <w:bottom w:val="none" w:sz="0" w:space="0" w:color="auto"/>
            <w:right w:val="none" w:sz="0" w:space="0" w:color="auto"/>
          </w:divBdr>
          <w:divsChild>
            <w:div w:id="786121729">
              <w:marLeft w:val="0"/>
              <w:marRight w:val="0"/>
              <w:marTop w:val="0"/>
              <w:marBottom w:val="0"/>
              <w:divBdr>
                <w:top w:val="none" w:sz="0" w:space="0" w:color="auto"/>
                <w:left w:val="none" w:sz="0" w:space="0" w:color="auto"/>
                <w:bottom w:val="none" w:sz="0" w:space="0" w:color="auto"/>
                <w:right w:val="none" w:sz="0" w:space="0" w:color="auto"/>
              </w:divBdr>
              <w:divsChild>
                <w:div w:id="628820647">
                  <w:marLeft w:val="0"/>
                  <w:marRight w:val="0"/>
                  <w:marTop w:val="0"/>
                  <w:marBottom w:val="0"/>
                  <w:divBdr>
                    <w:top w:val="none" w:sz="0" w:space="0" w:color="auto"/>
                    <w:left w:val="none" w:sz="0" w:space="0" w:color="auto"/>
                    <w:bottom w:val="none" w:sz="0" w:space="0" w:color="auto"/>
                    <w:right w:val="none" w:sz="0" w:space="0" w:color="auto"/>
                  </w:divBdr>
                </w:div>
              </w:divsChild>
            </w:div>
            <w:div w:id="1005933349">
              <w:marLeft w:val="0"/>
              <w:marRight w:val="0"/>
              <w:marTop w:val="0"/>
              <w:marBottom w:val="0"/>
              <w:divBdr>
                <w:top w:val="none" w:sz="0" w:space="0" w:color="auto"/>
                <w:left w:val="none" w:sz="0" w:space="0" w:color="auto"/>
                <w:bottom w:val="none" w:sz="0" w:space="0" w:color="auto"/>
                <w:right w:val="none" w:sz="0" w:space="0" w:color="auto"/>
              </w:divBdr>
              <w:divsChild>
                <w:div w:id="1986814748">
                  <w:marLeft w:val="0"/>
                  <w:marRight w:val="0"/>
                  <w:marTop w:val="0"/>
                  <w:marBottom w:val="0"/>
                  <w:divBdr>
                    <w:top w:val="none" w:sz="0" w:space="0" w:color="auto"/>
                    <w:left w:val="none" w:sz="0" w:space="0" w:color="auto"/>
                    <w:bottom w:val="none" w:sz="0" w:space="0" w:color="auto"/>
                    <w:right w:val="none" w:sz="0" w:space="0" w:color="auto"/>
                  </w:divBdr>
                </w:div>
              </w:divsChild>
            </w:div>
            <w:div w:id="1556968699">
              <w:marLeft w:val="0"/>
              <w:marRight w:val="0"/>
              <w:marTop w:val="0"/>
              <w:marBottom w:val="0"/>
              <w:divBdr>
                <w:top w:val="none" w:sz="0" w:space="0" w:color="auto"/>
                <w:left w:val="none" w:sz="0" w:space="0" w:color="auto"/>
                <w:bottom w:val="none" w:sz="0" w:space="0" w:color="auto"/>
                <w:right w:val="none" w:sz="0" w:space="0" w:color="auto"/>
              </w:divBdr>
              <w:divsChild>
                <w:div w:id="1142430374">
                  <w:marLeft w:val="0"/>
                  <w:marRight w:val="0"/>
                  <w:marTop w:val="0"/>
                  <w:marBottom w:val="0"/>
                  <w:divBdr>
                    <w:top w:val="none" w:sz="0" w:space="0" w:color="auto"/>
                    <w:left w:val="none" w:sz="0" w:space="0" w:color="auto"/>
                    <w:bottom w:val="none" w:sz="0" w:space="0" w:color="auto"/>
                    <w:right w:val="none" w:sz="0" w:space="0" w:color="auto"/>
                  </w:divBdr>
                </w:div>
              </w:divsChild>
            </w:div>
            <w:div w:id="1591813673">
              <w:marLeft w:val="0"/>
              <w:marRight w:val="0"/>
              <w:marTop w:val="0"/>
              <w:marBottom w:val="0"/>
              <w:divBdr>
                <w:top w:val="none" w:sz="0" w:space="0" w:color="auto"/>
                <w:left w:val="none" w:sz="0" w:space="0" w:color="auto"/>
                <w:bottom w:val="none" w:sz="0" w:space="0" w:color="auto"/>
                <w:right w:val="none" w:sz="0" w:space="0" w:color="auto"/>
              </w:divBdr>
              <w:divsChild>
                <w:div w:id="1692796747">
                  <w:marLeft w:val="0"/>
                  <w:marRight w:val="0"/>
                  <w:marTop w:val="0"/>
                  <w:marBottom w:val="0"/>
                  <w:divBdr>
                    <w:top w:val="none" w:sz="0" w:space="0" w:color="auto"/>
                    <w:left w:val="none" w:sz="0" w:space="0" w:color="auto"/>
                    <w:bottom w:val="none" w:sz="0" w:space="0" w:color="auto"/>
                    <w:right w:val="none" w:sz="0" w:space="0" w:color="auto"/>
                  </w:divBdr>
                </w:div>
              </w:divsChild>
            </w:div>
            <w:div w:id="417406469">
              <w:marLeft w:val="0"/>
              <w:marRight w:val="0"/>
              <w:marTop w:val="0"/>
              <w:marBottom w:val="0"/>
              <w:divBdr>
                <w:top w:val="none" w:sz="0" w:space="0" w:color="auto"/>
                <w:left w:val="none" w:sz="0" w:space="0" w:color="auto"/>
                <w:bottom w:val="none" w:sz="0" w:space="0" w:color="auto"/>
                <w:right w:val="none" w:sz="0" w:space="0" w:color="auto"/>
              </w:divBdr>
              <w:divsChild>
                <w:div w:id="103503995">
                  <w:marLeft w:val="0"/>
                  <w:marRight w:val="0"/>
                  <w:marTop w:val="0"/>
                  <w:marBottom w:val="0"/>
                  <w:divBdr>
                    <w:top w:val="none" w:sz="0" w:space="0" w:color="auto"/>
                    <w:left w:val="none" w:sz="0" w:space="0" w:color="auto"/>
                    <w:bottom w:val="none" w:sz="0" w:space="0" w:color="auto"/>
                    <w:right w:val="none" w:sz="0" w:space="0" w:color="auto"/>
                  </w:divBdr>
                </w:div>
              </w:divsChild>
            </w:div>
            <w:div w:id="176509182">
              <w:marLeft w:val="0"/>
              <w:marRight w:val="0"/>
              <w:marTop w:val="0"/>
              <w:marBottom w:val="0"/>
              <w:divBdr>
                <w:top w:val="none" w:sz="0" w:space="0" w:color="auto"/>
                <w:left w:val="none" w:sz="0" w:space="0" w:color="auto"/>
                <w:bottom w:val="none" w:sz="0" w:space="0" w:color="auto"/>
                <w:right w:val="none" w:sz="0" w:space="0" w:color="auto"/>
              </w:divBdr>
              <w:divsChild>
                <w:div w:id="1487359589">
                  <w:marLeft w:val="0"/>
                  <w:marRight w:val="0"/>
                  <w:marTop w:val="0"/>
                  <w:marBottom w:val="0"/>
                  <w:divBdr>
                    <w:top w:val="none" w:sz="0" w:space="0" w:color="auto"/>
                    <w:left w:val="none" w:sz="0" w:space="0" w:color="auto"/>
                    <w:bottom w:val="none" w:sz="0" w:space="0" w:color="auto"/>
                    <w:right w:val="none" w:sz="0" w:space="0" w:color="auto"/>
                  </w:divBdr>
                </w:div>
              </w:divsChild>
            </w:div>
            <w:div w:id="484054124">
              <w:marLeft w:val="0"/>
              <w:marRight w:val="0"/>
              <w:marTop w:val="0"/>
              <w:marBottom w:val="0"/>
              <w:divBdr>
                <w:top w:val="none" w:sz="0" w:space="0" w:color="auto"/>
                <w:left w:val="none" w:sz="0" w:space="0" w:color="auto"/>
                <w:bottom w:val="none" w:sz="0" w:space="0" w:color="auto"/>
                <w:right w:val="none" w:sz="0" w:space="0" w:color="auto"/>
              </w:divBdr>
              <w:divsChild>
                <w:div w:id="918558252">
                  <w:marLeft w:val="0"/>
                  <w:marRight w:val="0"/>
                  <w:marTop w:val="0"/>
                  <w:marBottom w:val="0"/>
                  <w:divBdr>
                    <w:top w:val="none" w:sz="0" w:space="0" w:color="auto"/>
                    <w:left w:val="none" w:sz="0" w:space="0" w:color="auto"/>
                    <w:bottom w:val="none" w:sz="0" w:space="0" w:color="auto"/>
                    <w:right w:val="none" w:sz="0" w:space="0" w:color="auto"/>
                  </w:divBdr>
                </w:div>
              </w:divsChild>
            </w:div>
            <w:div w:id="917909585">
              <w:marLeft w:val="0"/>
              <w:marRight w:val="0"/>
              <w:marTop w:val="0"/>
              <w:marBottom w:val="0"/>
              <w:divBdr>
                <w:top w:val="none" w:sz="0" w:space="0" w:color="auto"/>
                <w:left w:val="none" w:sz="0" w:space="0" w:color="auto"/>
                <w:bottom w:val="none" w:sz="0" w:space="0" w:color="auto"/>
                <w:right w:val="none" w:sz="0" w:space="0" w:color="auto"/>
              </w:divBdr>
              <w:divsChild>
                <w:div w:id="186916023">
                  <w:marLeft w:val="0"/>
                  <w:marRight w:val="0"/>
                  <w:marTop w:val="0"/>
                  <w:marBottom w:val="0"/>
                  <w:divBdr>
                    <w:top w:val="none" w:sz="0" w:space="0" w:color="auto"/>
                    <w:left w:val="none" w:sz="0" w:space="0" w:color="auto"/>
                    <w:bottom w:val="none" w:sz="0" w:space="0" w:color="auto"/>
                    <w:right w:val="none" w:sz="0" w:space="0" w:color="auto"/>
                  </w:divBdr>
                </w:div>
              </w:divsChild>
            </w:div>
            <w:div w:id="500706861">
              <w:marLeft w:val="0"/>
              <w:marRight w:val="0"/>
              <w:marTop w:val="0"/>
              <w:marBottom w:val="0"/>
              <w:divBdr>
                <w:top w:val="none" w:sz="0" w:space="0" w:color="auto"/>
                <w:left w:val="none" w:sz="0" w:space="0" w:color="auto"/>
                <w:bottom w:val="none" w:sz="0" w:space="0" w:color="auto"/>
                <w:right w:val="none" w:sz="0" w:space="0" w:color="auto"/>
              </w:divBdr>
            </w:div>
            <w:div w:id="1725643334">
              <w:marLeft w:val="0"/>
              <w:marRight w:val="0"/>
              <w:marTop w:val="0"/>
              <w:marBottom w:val="0"/>
              <w:divBdr>
                <w:top w:val="none" w:sz="0" w:space="0" w:color="auto"/>
                <w:left w:val="none" w:sz="0" w:space="0" w:color="auto"/>
                <w:bottom w:val="none" w:sz="0" w:space="0" w:color="auto"/>
                <w:right w:val="none" w:sz="0" w:space="0" w:color="auto"/>
              </w:divBdr>
              <w:divsChild>
                <w:div w:id="1314407888">
                  <w:marLeft w:val="0"/>
                  <w:marRight w:val="0"/>
                  <w:marTop w:val="0"/>
                  <w:marBottom w:val="0"/>
                  <w:divBdr>
                    <w:top w:val="none" w:sz="0" w:space="0" w:color="auto"/>
                    <w:left w:val="none" w:sz="0" w:space="0" w:color="auto"/>
                    <w:bottom w:val="none" w:sz="0" w:space="0" w:color="auto"/>
                    <w:right w:val="none" w:sz="0" w:space="0" w:color="auto"/>
                  </w:divBdr>
                </w:div>
                <w:div w:id="1539513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896</Words>
  <Characters>4934</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5819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Kooijman, Vincent</dc:creator>
  <cp:keywords/>
  <dc:description/>
  <cp:lastModifiedBy>Kooijman, Vincent</cp:lastModifiedBy>
  <cp:revision>2</cp:revision>
  <dcterms:created xsi:type="dcterms:W3CDTF">2022-04-25T15:34:00Z</dcterms:created>
  <dcterms:modified xsi:type="dcterms:W3CDTF">2022-04-25T15:34:00Z</dcterms:modified>
</cp:coreProperties>
</file>