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1274041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Conducting an Analysis of the Policy, Legal and Regulatory Landscape of the Inland Waterways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Sector in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07-Apr-2021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15-Apr-2021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UA -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rPr>
      </w:pPr>
      <w:r>
        <w:rPr>
          <w:rFonts w:ascii="Times" w:hAnsi="Times"/>
          <w:sz w:val="24"/>
          <w:szCs w:val="24"/>
          <w:rtl w:val="0"/>
        </w:rPr>
        <w:t>TF0A9951 - MCICP -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1274041 - Conducting an Analysis of the Policy, Legal and Regulatory Landscape of the Inland Waterways Sector in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is looking to hire a Consultant (firm) to carry out an assessment of the regulatory conditions regarding the inland waterways (IWW) sector in Ukraine. The objective of this activity is to analyze how national and sector-level policies, legal, regulatory and institutional frameworks are affecting the workings of the sector at an operational level, its development, growth, its overall competitiveness and its ability to attract investments. The key is to establish if the current policy and regulatory landscape is hindering investments, if so, in what ways and in what areas, and to propose specific recommendations to remove the identified barriers.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assessment will include both a holistic analysis of the regulatory environment of IWW sector and will deep-dive into its constituent markets separately: the inland waterways network, the river fleet (freight and auxiliary), infrastructure (docks, anchorages, navigable canals in water areas, navigable locks, fairways, signaling systems, etc.), service infrastructure (river ports, river terminals), navigation and surveillance.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"https://wbgeconsult2.worldbank.org/wbgect/download?uuid=735bf098-2fea-43a9-a43f-e21793573679"</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