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R</w:t>
      </w:r>
      <w:r>
        <w:rPr>
          <w:rFonts w:ascii="Times" w:hAnsi="Times"/>
          <w:sz w:val="24"/>
          <w:szCs w:val="24"/>
          <w:rtl w:val="0"/>
          <w:lang w:val="en-US"/>
        </w:rPr>
        <w:t>equest for expression of interest for selection # 1272659</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Title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Urban Flood Resilience Diagnostics in 2 Indonesian Cities</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Publication Date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29-Jan-2021</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Expression of Interest Deadline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 xml:space="preserve">24-Feb-2021 at 11:59:59 PM (Eastern Time </w:t>
      </w:r>
      <w:r>
        <w:rPr>
          <w:rFonts w:ascii="Times" w:hAnsi="Times" w:hint="default"/>
          <w:sz w:val="24"/>
          <w:szCs w:val="24"/>
          <w:rtl w:val="0"/>
        </w:rPr>
        <w:t xml:space="preserve">– </w:t>
      </w:r>
      <w:r>
        <w:rPr>
          <w:rFonts w:ascii="Times" w:hAnsi="Times"/>
          <w:sz w:val="24"/>
          <w:szCs w:val="24"/>
          <w:rtl w:val="0"/>
          <w:lang w:val="it-IT"/>
        </w:rPr>
        <w:t>Washington D.C.)</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Language of Notice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English</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Selection Notice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Country</w:t>
      </w:r>
    </w:p>
    <w:p>
      <w:pPr>
        <w:pStyle w:val="Default"/>
        <w:numPr>
          <w:ilvl w:val="0"/>
          <w:numId w:val="2"/>
        </w:numPr>
        <w:bidi w:val="0"/>
        <w:ind w:right="0"/>
        <w:jc w:val="left"/>
        <w:rPr>
          <w:rFonts w:ascii="Times" w:hAnsi="Times"/>
          <w:sz w:val="24"/>
          <w:szCs w:val="24"/>
          <w:rtl w:val="0"/>
          <w:lang w:val="it-IT"/>
        </w:rPr>
      </w:pPr>
      <w:r>
        <w:rPr>
          <w:rFonts w:ascii="Times" w:hAnsi="Times"/>
          <w:sz w:val="24"/>
          <w:szCs w:val="24"/>
          <w:rtl w:val="0"/>
          <w:lang w:val="it-IT"/>
        </w:rPr>
        <w:t>ID - Indonesia</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Funding Sources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World Bank Group intends to finance the assignment/services under:</w:t>
      </w:r>
    </w:p>
    <w:p>
      <w:pPr>
        <w:pStyle w:val="Default"/>
        <w:numPr>
          <w:ilvl w:val="0"/>
          <w:numId w:val="2"/>
        </w:numPr>
        <w:bidi w:val="0"/>
        <w:ind w:right="0"/>
        <w:jc w:val="left"/>
        <w:rPr>
          <w:rFonts w:ascii="Times" w:hAnsi="Times"/>
          <w:sz w:val="24"/>
          <w:szCs w:val="24"/>
          <w:rtl w:val="0"/>
          <w:lang w:val="de-DE"/>
        </w:rPr>
      </w:pPr>
      <w:r>
        <w:rPr>
          <w:rFonts w:ascii="Times" w:hAnsi="Times"/>
          <w:sz w:val="24"/>
          <w:szCs w:val="24"/>
          <w:rtl w:val="0"/>
          <w:lang w:val="de-DE"/>
        </w:rPr>
        <w:t>BB - BANK BUDGET</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it-IT"/>
        </w:rPr>
        <w:t>Individual/Firm</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The consultant will be a firm.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Description</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SELECTION FOR CONSULTANTS BY THE WORLD BANK GROUP</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REQUEST FOR EXPRESSIONS OF INTEREST</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Electronic Submissions through World Bank Group eConsultant2</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https://wbgeconsult2.worldbank.org/wbgec/index.html</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ASSIGNMENT OVERVIEW</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Title: 1272659 - Urban Flood Resilience Diagnostics in 2 Indonesian Cities</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Countries: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it-IT"/>
        </w:rPr>
        <w:t>- Indonesia</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ASSIGNMENT DESCRIPTION</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The objective of this consultancy assignment is to provide advisory services and technical inputs on urban flood resilience diagnostics and potential investment options for two Indonesian cities. The diagnostics will propose a multi-year program of prioritized structural and non-structural flood resilience investments. It will include: (i) a desktop review of current and planned flood resilience measures, and urban and disaster risk management policies and plans; (ii) development of flood hazard and risk information, based on future population growth and climate change scenarios; (iii) identification and rapid prioritization of potential interventions with an integrated flood risk engineering and risk-informed urban design approach; (iv) technical knowledge exchanges; and (v) opportunities for participatory planning.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Due to the ongoing pandemic, the consultant is expected to mobilize locally-based resources in the select cities. The diagnostics are expected by December 2021.</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FUNDING SOURCE</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World Bank Group intends to finance the assignment / services described below under the following:</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 BANK BUDGET</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a-DK"/>
        </w:rPr>
        <w:t>ELIGIBILITY</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Eligibility restrictions apply:</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[Please type list of restrictions]</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INDIVIDUAL / FIRM PROFILE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The consultant will be a firm.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SUBMISSION REQUIREMENTS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Interested firms are hereby invited to submit expressions of interest.</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Expressions of Interest should be submitted, in English, electronically through World Bank Group eConsultant2 (https://wbgeconsult2.worldbank.org/wbgec/index.html)</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NOTES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Following this invitation for Expression of Interest, a shortlist of qualified firms will be formally invited to submit proposals. Shortlisting and selection will be subject to the availability of funding.</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Only those firms which have been shortlisted will receive notification. No debrief will be provided to firms which have not been shortlisted.</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it-IT"/>
        </w:rPr>
        <w:t>Qualification Criteria</w:t>
      </w:r>
    </w:p>
    <w:p>
      <w:pPr>
        <w:pStyle w:val="Default"/>
        <w:numPr>
          <w:ilvl w:val="0"/>
          <w:numId w:val="3"/>
        </w:numPr>
        <w:bidi w:val="0"/>
        <w:ind w:right="0"/>
        <w:jc w:val="left"/>
        <w:rPr>
          <w:rFonts w:ascii="Times" w:hAnsi="Times"/>
          <w:sz w:val="24"/>
          <w:szCs w:val="24"/>
          <w:rtl w:val="0"/>
        </w:rPr>
      </w:pPr>
      <w:r>
        <w:rPr>
          <w:rFonts w:ascii="Times" w:hAnsi="Times"/>
          <w:b w:val="1"/>
          <w:bCs w:val="1"/>
          <w:sz w:val="24"/>
          <w:szCs w:val="24"/>
          <w:rtl w:val="0"/>
        </w:rPr>
        <w:t>1.</w:t>
      </w:r>
      <w:r>
        <w:rPr>
          <w:rFonts w:ascii="Times" w:hAnsi="Times"/>
          <w:sz w:val="24"/>
          <w:szCs w:val="24"/>
          <w:rtl w:val="0"/>
          <w:lang w:val="en-US"/>
        </w:rPr>
        <w:t xml:space="preserve"> Provide information showing that they are qualified in the field of the assignment. *</w:t>
      </w:r>
    </w:p>
    <w:p>
      <w:pPr>
        <w:pStyle w:val="Default"/>
        <w:numPr>
          <w:ilvl w:val="0"/>
          <w:numId w:val="3"/>
        </w:numPr>
        <w:bidi w:val="0"/>
        <w:ind w:right="0"/>
        <w:jc w:val="left"/>
        <w:rPr>
          <w:rFonts w:ascii="Times" w:hAnsi="Times"/>
          <w:sz w:val="24"/>
          <w:szCs w:val="24"/>
          <w:rtl w:val="0"/>
        </w:rPr>
      </w:pPr>
      <w:r>
        <w:rPr>
          <w:rFonts w:ascii="Times" w:hAnsi="Times"/>
          <w:b w:val="1"/>
          <w:bCs w:val="1"/>
          <w:sz w:val="24"/>
          <w:szCs w:val="24"/>
          <w:rtl w:val="0"/>
        </w:rPr>
        <w:t>2.</w:t>
      </w:r>
      <w:r>
        <w:rPr>
          <w:rFonts w:ascii="Times" w:hAnsi="Times"/>
          <w:sz w:val="24"/>
          <w:szCs w:val="24"/>
          <w:rtl w:val="0"/>
          <w:lang w:val="en-US"/>
        </w:rPr>
        <w:t xml:space="preserve"> Provide information on the technical and managerial capabilities of the firm. *</w:t>
      </w:r>
    </w:p>
    <w:p>
      <w:pPr>
        <w:pStyle w:val="Default"/>
        <w:numPr>
          <w:ilvl w:val="0"/>
          <w:numId w:val="3"/>
        </w:numPr>
        <w:bidi w:val="0"/>
        <w:ind w:right="0"/>
        <w:jc w:val="left"/>
        <w:rPr>
          <w:rFonts w:ascii="Times" w:hAnsi="Times"/>
          <w:sz w:val="24"/>
          <w:szCs w:val="24"/>
          <w:rtl w:val="0"/>
        </w:rPr>
      </w:pPr>
      <w:r>
        <w:rPr>
          <w:rFonts w:ascii="Times" w:hAnsi="Times"/>
          <w:b w:val="1"/>
          <w:bCs w:val="1"/>
          <w:sz w:val="24"/>
          <w:szCs w:val="24"/>
          <w:rtl w:val="0"/>
        </w:rPr>
        <w:t>3.</w:t>
      </w:r>
      <w:r>
        <w:rPr>
          <w:rFonts w:ascii="Times" w:hAnsi="Times"/>
          <w:sz w:val="24"/>
          <w:szCs w:val="24"/>
          <w:rtl w:val="0"/>
          <w:lang w:val="en-US"/>
        </w:rPr>
        <w:t xml:space="preserve"> Provide information on their core business and years in business. *</w:t>
      </w:r>
    </w:p>
    <w:p>
      <w:pPr>
        <w:pStyle w:val="Default"/>
        <w:numPr>
          <w:ilvl w:val="0"/>
          <w:numId w:val="3"/>
        </w:numPr>
        <w:bidi w:val="0"/>
        <w:ind w:right="0"/>
        <w:jc w:val="left"/>
        <w:rPr>
          <w:rFonts w:ascii="Times" w:hAnsi="Times"/>
          <w:sz w:val="24"/>
          <w:szCs w:val="24"/>
          <w:rtl w:val="0"/>
        </w:rPr>
      </w:pPr>
      <w:r>
        <w:rPr>
          <w:rFonts w:ascii="Times" w:hAnsi="Times"/>
          <w:b w:val="1"/>
          <w:bCs w:val="1"/>
          <w:sz w:val="24"/>
          <w:szCs w:val="24"/>
          <w:rtl w:val="0"/>
        </w:rPr>
        <w:t>4.</w:t>
      </w:r>
      <w:r>
        <w:rPr>
          <w:rFonts w:ascii="Times" w:hAnsi="Times"/>
          <w:sz w:val="24"/>
          <w:szCs w:val="24"/>
          <w:rtl w:val="0"/>
          <w:lang w:val="en-US"/>
        </w:rPr>
        <w:t xml:space="preserve"> Provide information on the qualifications and experience of key staff. *</w:t>
      </w:r>
    </w:p>
    <w:p>
      <w:pPr>
        <w:pStyle w:val="Default"/>
        <w:bidi w:val="0"/>
        <w:ind w:left="0" w:right="0" w:firstLine="0"/>
        <w:jc w:val="left"/>
        <w:rPr>
          <w:rtl w:val="0"/>
        </w:rPr>
      </w:pPr>
      <w:r>
        <w:rPr>
          <w:rFonts w:ascii="Times" w:cs="Times" w:hAnsi="Times" w:eastAsia="Times"/>
          <w:sz w:val="24"/>
          <w:szCs w:val="24"/>
          <w:rtl w:val="0"/>
        </w:rPr>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Times">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Bullet"/>
  </w:abstractNum>
  <w:abstractNum w:abstractNumId="1">
    <w:multiLevelType w:val="hybridMultilevel"/>
    <w:styleLink w:val="Bullet"/>
    <w:lvl w:ilvl="0">
      <w:start w:val="1"/>
      <w:numFmt w:val="bullet"/>
      <w:suff w:val="tab"/>
      <w:lvlText w:val="•"/>
      <w:lvlJc w:val="left"/>
      <w:pPr>
        <w:ind w:left="72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1">
      <w:start w:val="1"/>
      <w:numFmt w:val="bullet"/>
      <w:suff w:val="tab"/>
      <w:lvlText w:val="•"/>
      <w:lvlJc w:val="left"/>
      <w:pPr>
        <w:ind w:left="94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2">
      <w:start w:val="1"/>
      <w:numFmt w:val="bullet"/>
      <w:suff w:val="tab"/>
      <w:lvlText w:val="•"/>
      <w:lvlJc w:val="left"/>
      <w:pPr>
        <w:ind w:left="116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3">
      <w:start w:val="1"/>
      <w:numFmt w:val="bullet"/>
      <w:suff w:val="tab"/>
      <w:lvlText w:val="•"/>
      <w:lvlJc w:val="left"/>
      <w:pPr>
        <w:ind w:left="138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4">
      <w:start w:val="1"/>
      <w:numFmt w:val="bullet"/>
      <w:suff w:val="tab"/>
      <w:lvlText w:val="•"/>
      <w:lvlJc w:val="left"/>
      <w:pPr>
        <w:ind w:left="160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5">
      <w:start w:val="1"/>
      <w:numFmt w:val="bullet"/>
      <w:suff w:val="tab"/>
      <w:lvlText w:val="•"/>
      <w:lvlJc w:val="left"/>
      <w:pPr>
        <w:ind w:left="182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6">
      <w:start w:val="1"/>
      <w:numFmt w:val="bullet"/>
      <w:suff w:val="tab"/>
      <w:lvlText w:val="•"/>
      <w:lvlJc w:val="left"/>
      <w:pPr>
        <w:ind w:left="204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7">
      <w:start w:val="1"/>
      <w:numFmt w:val="bullet"/>
      <w:suff w:val="tab"/>
      <w:lvlText w:val="•"/>
      <w:lvlJc w:val="left"/>
      <w:pPr>
        <w:ind w:left="226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8">
      <w:start w:val="1"/>
      <w:numFmt w:val="bullet"/>
      <w:suff w:val="tab"/>
      <w:lvlText w:val="•"/>
      <w:lvlJc w:val="left"/>
      <w:pPr>
        <w:ind w:left="248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abstractNum>
  <w:num w:numId="1">
    <w:abstractNumId w:val="1"/>
  </w:num>
  <w:num w:numId="2">
    <w:abstractNumId w:val="0"/>
  </w:num>
  <w:num w:numId="3">
    <w:abstractNumId w:val="0"/>
    <w:lvlOverride w:ilvl="0">
      <w:lvl w:ilvl="0">
        <w:start w:val="1"/>
        <w:numFmt w:val="bullet"/>
        <w:suff w:val="tab"/>
        <w:lvlText w:val="•"/>
        <w:lvlJc w:val="left"/>
        <w:pPr>
          <w:ind w:left="72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1">
      <w:lvl w:ilvl="1">
        <w:start w:val="1"/>
        <w:numFmt w:val="bullet"/>
        <w:suff w:val="tab"/>
        <w:lvlText w:val="•"/>
        <w:lvlJc w:val="left"/>
        <w:pPr>
          <w:ind w:left="94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2">
      <w:lvl w:ilvl="2">
        <w:start w:val="1"/>
        <w:numFmt w:val="bullet"/>
        <w:suff w:val="tab"/>
        <w:lvlText w:val="•"/>
        <w:lvlJc w:val="left"/>
        <w:pPr>
          <w:ind w:left="116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3">
      <w:lvl w:ilvl="3">
        <w:start w:val="1"/>
        <w:numFmt w:val="bullet"/>
        <w:suff w:val="tab"/>
        <w:lvlText w:val="•"/>
        <w:lvlJc w:val="left"/>
        <w:pPr>
          <w:ind w:left="138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4">
      <w:lvl w:ilvl="4">
        <w:start w:val="1"/>
        <w:numFmt w:val="bullet"/>
        <w:suff w:val="tab"/>
        <w:lvlText w:val="•"/>
        <w:lvlJc w:val="left"/>
        <w:pPr>
          <w:ind w:left="160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5">
      <w:lvl w:ilvl="5">
        <w:start w:val="1"/>
        <w:numFmt w:val="bullet"/>
        <w:suff w:val="tab"/>
        <w:lvlText w:val="•"/>
        <w:lvlJc w:val="left"/>
        <w:pPr>
          <w:ind w:left="182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6">
      <w:lvl w:ilvl="6">
        <w:start w:val="1"/>
        <w:numFmt w:val="bullet"/>
        <w:suff w:val="tab"/>
        <w:lvlText w:val="•"/>
        <w:lvlJc w:val="left"/>
        <w:pPr>
          <w:ind w:left="204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7">
      <w:lvl w:ilvl="7">
        <w:start w:val="1"/>
        <w:numFmt w:val="bullet"/>
        <w:suff w:val="tab"/>
        <w:lvlText w:val="•"/>
        <w:lvlJc w:val="left"/>
        <w:pPr>
          <w:ind w:left="226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8">
      <w:lvl w:ilvl="8">
        <w:start w:val="1"/>
        <w:numFmt w:val="bullet"/>
        <w:suff w:val="tab"/>
        <w:lvlText w:val="•"/>
        <w:lvlJc w:val="left"/>
        <w:pPr>
          <w:ind w:left="248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 w:type="numbering" w:styleId="Bullet">
    <w:name w:val="Bullet"/>
    <w:pPr>
      <w:numPr>
        <w:numId w:val="1"/>
      </w:numPr>
    </w:p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