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1272845</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Study to assess the feasibility and market opportunities for the implementation and operation of wastewater reuse projects in Mexico City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08-Feb-2021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15-Feb-2021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MX - Mexico</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BF000144 - Unrestricted Service Fees Budget against the Revenue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(no longer than 15 pages) should be submitted, in English, electronically through World Bank GroupeConsultant2 (https://wbgeconsult2.worldbank.org/wbgec/index.html)</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EOI shall include the three following chapters as a minimum: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Introduction and background</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Identification of the key experts with summarized CVs: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Project leader</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Water / Wastewater / Industrial sector specialist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pt-PT"/>
        </w:rPr>
        <w:t>o Financial / PPP specialist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Outline of the approach and methodology to deliver the study.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consultant should be a firm or a consortium (with clear indication of the lead firm) that possess the following skills: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Demonstrated track record of advisory, analytical work related to the water sector, specifically on wastewater treatment market assessments, industry research, supply and demand analysis, feasibility studies and conceptualization and development of business plans.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Excellent understanding of the water sector including wastewater treatment and its inner play with industrial uses. Strong understanding of the Mexican wastewater users/market, tariffs and regulations is required.</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Demonstrated local/in-country experience in Mexico, resources and knowledge to execute this engagement successfully.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Good understanding of government regulations and key public and private stakeholders, and its impact on the growth of wastewater treatment in Mexico.</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