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1272285</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Sudan Agriculture Value Chain Investment Roadmap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19-Jan-2021</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03-Feb-2021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lang w:val="it-IT"/>
        </w:rPr>
      </w:pPr>
      <w:r>
        <w:rPr>
          <w:rFonts w:ascii="Times" w:hAnsi="Times"/>
          <w:sz w:val="24"/>
          <w:szCs w:val="24"/>
          <w:rtl w:val="0"/>
          <w:lang w:val="it-IT"/>
        </w:rPr>
        <w:t>SD - Sudan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 1272285 - Sudan Agriculture Value Chain Investment Roadmap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nl-NL"/>
        </w:rPr>
        <w:t>- Sudan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Agriculture is the backbone of the Sudanese economy, generating one-third of GDP and having a labor share of more than 50 percent. Agriculture provides livelihood to approximately two-thirds of the population. Value chains in the agriculture sector, however, remain underdeveloped and fragmented and lack integration. Increased agro-processing and trade, supported by well-directed strategic public sector investments, can unlock much greater value from agriculture. Policy-induced private investment, backed up by public sector financing to facilitate value chain development can set in motion a virtuous cycle of increased productive investment that can in turn boost government revenues from tax collections on corporate profits.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is seeking services of a consulting firm to prepare an investment roadmap for two agricultural value chains: Sorghum and Livestock (Small Ruminants).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 / services described below under the following: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 BANK BUDGET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a-DK"/>
        </w:rPr>
        <w:t>ELIGIBILITY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Eligibility restrictions apply: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[Please type list of restrictions]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Attachments</w:t>
      </w:r>
    </w:p>
    <w:p>
      <w:pPr>
        <w:pStyle w:val="Default"/>
        <w:numPr>
          <w:ilvl w:val="0"/>
          <w:numId w:val="3"/>
        </w:numPr>
        <w:bidi w:val="0"/>
        <w:ind w:right="0"/>
        <w:jc w:val="left"/>
        <w:rPr>
          <w:rFonts w:ascii="Times" w:cs="Times" w:hAnsi="Times" w:eastAsia="Times"/>
          <w:color w:val="0000ee"/>
          <w:sz w:val="24"/>
          <w:szCs w:val="24"/>
          <w:u w:val="single"/>
          <w:rtl w:val="0"/>
        </w:rPr>
      </w:pPr>
      <w:r>
        <w:rPr>
          <w:rStyle w:val="Hyperlink.0"/>
          <w:rFonts w:ascii="Times" w:cs="Times" w:hAnsi="Times" w:eastAsia="Times"/>
          <w:color w:val="0000ee"/>
          <w:sz w:val="24"/>
          <w:szCs w:val="24"/>
          <w:u w:val="single"/>
          <w:rtl w:val="0"/>
        </w:rPr>
        <w:fldChar w:fldCharType="begin" w:fldLock="0"/>
      </w:r>
      <w:r>
        <w:rPr>
          <w:rStyle w:val="Hyperlink.0"/>
          <w:rFonts w:ascii="Times" w:cs="Times" w:hAnsi="Times" w:eastAsia="Times"/>
          <w:color w:val="0000ee"/>
          <w:sz w:val="24"/>
          <w:szCs w:val="24"/>
          <w:u w:val="single"/>
          <w:rtl w:val="0"/>
        </w:rPr>
        <w:instrText xml:space="preserve"> HYPERLINK "https://wbgeconsult2.worldbank.org/wbgect/download?uuid=98baf785-c547-4a3e-9b83-bfe854a4c2c2"</w:instrText>
      </w:r>
      <w:r>
        <w:rPr>
          <w:rStyle w:val="Hyperlink.0"/>
          <w:rFonts w:ascii="Times" w:cs="Times" w:hAnsi="Times" w:eastAsia="Times"/>
          <w:color w:val="0000ee"/>
          <w:sz w:val="24"/>
          <w:szCs w:val="24"/>
          <w:u w:val="single"/>
          <w:rtl w:val="0"/>
        </w:rPr>
        <w:fldChar w:fldCharType="separate" w:fldLock="0"/>
      </w:r>
      <w:r>
        <w:rPr>
          <w:rStyle w:val="Hyperlink.0"/>
          <w:rFonts w:ascii="Times" w:hAnsi="Times"/>
          <w:color w:val="0000ee"/>
          <w:sz w:val="24"/>
          <w:szCs w:val="24"/>
          <w:u w:val="single"/>
          <w:rtl w:val="0"/>
          <w:lang w:val="en-US"/>
        </w:rPr>
        <w:t>Optional TOR File</w:t>
      </w:r>
      <w:r>
        <w:rPr>
          <w:rFonts w:ascii="Times" w:cs="Times" w:hAnsi="Times" w:eastAsia="Times"/>
          <w:color w:val="0000ee"/>
          <w:sz w:val="24"/>
          <w:szCs w:val="24"/>
          <w:u w:val="single"/>
          <w:rtl w:val="0"/>
        </w:rPr>
        <w:fldChar w:fldCharType="end" w:fldLock="0"/>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5.</w:t>
      </w:r>
      <w:r>
        <w:rPr>
          <w:rFonts w:ascii="Times" w:hAnsi="Times"/>
          <w:sz w:val="24"/>
          <w:szCs w:val="24"/>
          <w:rtl w:val="0"/>
          <w:lang w:val="en-US"/>
        </w:rPr>
        <w:t xml:space="preserve"> Provide information showing that they have a presence and relevant work experience in Sudan.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 - Mandatory</w:t>
      </w:r>
    </w:p>
    <w:p>
      <w:pPr>
        <w:pStyle w:val="Default"/>
        <w:bidi w:val="0"/>
        <w:ind w:left="0" w:right="0" w:firstLine="0"/>
        <w:jc w:val="left"/>
        <w:rPr>
          <w:rtl w:val="0"/>
        </w:rPr>
      </w:pPr>
      <w:r>
        <w:rPr>
          <w:rFonts w:ascii="Times" w:cs="Times" w:hAnsi="Times" w:eastAsia="Times"/>
          <w:sz w:val="24"/>
          <w:szCs w:val="24"/>
          <w:rtl w:val="0"/>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num>
  <w:num w:numId="4">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