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1271667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Vietnam: Scaling up of Rural Water Private Sector Participation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01-Dec-2020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09-Dec-2020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VN - 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TF0B4384 - Vietnam : Scaling up of Rural Water Private Sector Participation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1271312 - Vietnam: Scaling up of Rural Water Private Sector Participation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numPr>
          <w:ilvl w:val="0"/>
          <w:numId w:val="4"/>
        </w:numPr>
        <w:bidi w:val="0"/>
        <w:ind w:right="0"/>
        <w:jc w:val="left"/>
        <w:rPr>
          <w:rFonts w:ascii="Times" w:hAnsi="Times"/>
          <w:sz w:val="24"/>
          <w:szCs w:val="24"/>
          <w:rtl w:val="0"/>
        </w:rPr>
      </w:pPr>
      <w:r>
        <w:rPr>
          <w:rFonts w:ascii="Times" w:hAnsi="Times"/>
          <w:sz w:val="24"/>
          <w:szCs w:val="24"/>
          <w:rtl w:val="0"/>
        </w:rPr>
        <w:t>Vietnam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Introduction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through the above mentioned PPIAF Fund, intends to recruit a consulting firm to carry out technical assistance in connection with the potential Sustainable and Climate Resilience Rural Water Supply and Sanitation Project (RWSS Project), which is planning to provide an investment loan integrated with technical assistance to the Government of Vietnam.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RWSS Project scope would entails on-lending the funds to approximately 17 Central and Mekong Delta Provinces. These TORs refer to technical assistance services to promote scaling up private sector participation (PSP) in the scope of the tentative RWSS Project, to be carried out over an 18-month period, which is expected to begin approximately in December 2020. The technical assistance is intended to raise the capacity of central and provincial government officials and other stakeholders to understand better the PSP options for RWS and to design, procure, carry out and monitor rural water supply (RWS) investment sub-projects proposed by the provinces, particularly to increase PSP in terms of both capital investments and technical expertise for management of the rural water schemes. The RWSS Project, both technical assistance and lending, would be intended to have a measurable impact on access to RWS, Sustainability, Climate Resilience, Pro-poor Impact, and PSP of RWS in the participating provinces.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SPECIFIC ACTIVITIES TO BE SUPPORTED BY PPIAF / CURRENT TORS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ACTIVITY 1: To improve the enabling environment for PSP</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Activity 1 includes identifying the most appropriate PSP models for RWS, the preparation of guidelines / templates to help with their implementation, technical assistance, advocacy work, and exploring the option of establishing a RWS fund to support poor/remote areas. The main purpose is to clarify existing policy and responsibilities under the various PSP models, and provide the practical tools needed to implement and identify the capacity building needs.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ACTIVITY 2: Application of improved PSP in project areas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Activity 2 will be carried out in parallel with Activity 1 and will focus on the implementation of the improved PSP framework developed in Activity 1. The PPIAF funds will be used for demonstration purposes, and this experience will then be used to help refine the approach and to support capacity building and training, before full-scale rolling out of the implementation approach under the potential RWSS Project itself. This Activity 2 under PPIAF will assess a sample of the RWS schemes (investment sub-projects) proposed by provinces for inclusion in the project, identify those that are suitable for PSP, and guide them in terms of the PSP improved implementation process as set out in Activity 1. This PPIAF- funded TA will provide hands on demonstration and will inform the development of the capacity building and training program outlined below in Activity 3.</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ACTIVITY 3: Capacity building and training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Activity 3 will provide the capacity building and training for national and local levels based on the needs identified over the development of Activity 1 and Activity 2. This includes MARD at the national level to ensure that the program can be scaled up. The PPIAF TA includes the development of training materials at the national level working with MARD. This TA support will include a limited number of training the trainer programs at MARD level and in some selected provinces (same as the demonstration PSP, Activity 2, above). This also includes the necessary needs assessment at provincial level to prepare the Capacity Development Plan and training materials. The roll out of the training program in all potential RWSS project provinces will be done outside the scope of this PPIAF support.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OBJECTIVES AND OUTCOMES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Activities that will be supported under the PPIAF proposal have been designed to be taken up at the national level. Activity 1 will provide the how to guidance needed to implement the existing national PSP policy framework for RWS. This will be demonstrated through Activity 2 and will be rolled out under a potential World Bank-supported RWSS Project working at the provincial level. The PPIAF TA will also include pilot work for PSP models. Activity 3 establishes the needs-based capacity building and training programs identified in Activity 1 and put into practice in Activity 2. The knowledge, experience and documentation will be made available through MARD to use at the national level to scale up the lessons learned. MARD will be provided with capacity building and training to meet this objective, including through training the trainer programs, and training will also be carried out under the PPIAF TA for selected provinces. Capacity building and training will be rolled out under MARD and the potential RWSS Project.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 PPIAF trust fund: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Vietnam : Scaling up of Rural Water Private Sector Participation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5"/>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"https://wbgeconsult2.worldbank.org/wbgect/download?uuid=e03d32c4-cd99-47d5-b9ef-6b0927f198b1"</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6"/>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Qualifications and competence of the key staff related to the assignment *</w:t>
      </w:r>
    </w:p>
    <w:p>
      <w:pPr>
        <w:pStyle w:val="Default"/>
        <w:numPr>
          <w:ilvl w:val="0"/>
          <w:numId w:val="6"/>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Adequacy of methodology and proposed work plan responding to TOR *</w:t>
      </w:r>
    </w:p>
    <w:p>
      <w:pPr>
        <w:pStyle w:val="Default"/>
        <w:numPr>
          <w:ilvl w:val="0"/>
          <w:numId w:val="6"/>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Experience of the firm specifically related to the assignment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abstractNum w:abstractNumId="2">
    <w:multiLevelType w:val="hybridMultilevel"/>
    <w:numStyleLink w:val="Dash"/>
  </w:abstractNum>
  <w:abstractNum w:abstractNumId="3">
    <w:multiLevelType w:val="hybridMultilevel"/>
    <w:styleLink w:val="Dash"/>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num w:numId="1">
    <w:abstractNumId w:val="1"/>
  </w:num>
  <w:num w:numId="2">
    <w:abstractNumId w:val="0"/>
  </w:num>
  <w:num w:numId="3">
    <w:abstractNumId w:val="3"/>
  </w:num>
  <w:num w:numId="4">
    <w:abstractNumId w:val="2"/>
  </w:num>
  <w:num w:numId="5">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6">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numbering" w:styleId="Dash">
    <w:name w:val="Dash"/>
    <w:pPr>
      <w:numPr>
        <w:numId w:val="3"/>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