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1270801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Request for Expression of Interest is for a Firm Selection. Please log in as a valid Firm User if you wish to express interest in this selection.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PS 6 Supply chain in Agribusiness Sector</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13-Oct-2020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03-Nov-2020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1270801 - IFC is seeking Biodiversity specialist firm to support number of investment and advisory projects in LAC region pertaining to application of IFC PS6 standard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(LAC Region)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1. To assist the ESG Department with their due diligence, supervision and/or advisory services support related to biodiversity risks associated with supply chains on agribusiness Investment projects in line with IFC Performance Standard 6 (PS6), as needed.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2. To share resources and networks that may enable IFCs clients to more effectively implement PS6 requirements related to supply chains.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Given that IFCs portfolio is unpredictable, this work will be on as-need basis. The Contractor will need to be available on-call to work directly on supply chain related due diligence (appraisals), supervision and/or advisory support for a nine-month contract period (through the end of the fiscal year, June 30, 2021), with the possibility for extension. Knowledge of supply chains and traceability in the following sectors and countries is especially desirable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Beef: Brazil, Argentina and Colombia (notably Oronoquia)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Cocoa: Brazil and Colombia (notably Oronoquia)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Grains (soy and maize): Brazil (maize only) and Argentina, Paraguay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Expertise in supply chain management practices and third-party voluntary standards for the agribusiness sector</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Firms with experience in the above-mentioned countries / sectors is preferred;</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Experience with commodity Round Tables and other relevant initiatives to improve supply chain management and reduce agricultural impacts on biodiversity;</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Proven track record of similar successful agribusiness projects in Latin America and Caribbean region</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Ability to communicate ideas clearly, articulate issues and recommend solutions;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6.</w:t>
      </w:r>
      <w:r>
        <w:rPr>
          <w:rFonts w:ascii="Times" w:hAnsi="Times"/>
          <w:sz w:val="24"/>
          <w:szCs w:val="24"/>
          <w:rtl w:val="0"/>
          <w:lang w:val="en-US"/>
        </w:rPr>
        <w:t xml:space="preserve"> Dynamic, persistent, self-motivated;</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7.</w:t>
      </w:r>
      <w:r>
        <w:rPr>
          <w:rFonts w:ascii="Times" w:hAnsi="Times"/>
          <w:sz w:val="24"/>
          <w:szCs w:val="24"/>
          <w:rtl w:val="0"/>
          <w:lang w:val="en-US"/>
        </w:rPr>
        <w:t xml:space="preserve"> Ability to deal flexibly with multiple and changing demands as well as working within multi-disciplinary and multicultural teams;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8.</w:t>
      </w:r>
      <w:r>
        <w:rPr>
          <w:rFonts w:ascii="Times" w:hAnsi="Times"/>
          <w:sz w:val="24"/>
          <w:szCs w:val="24"/>
          <w:rtl w:val="0"/>
          <w:lang w:val="en-US"/>
        </w:rPr>
        <w:t xml:space="preserve"> Excellent oral and written communications skills in English and Spanish. Portuguese is a plus.</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