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1270339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PROVISION OF COMPREHENSIVE TRADE EFFLUENT WATER QUALITY ANALYSIS IN NAIROBI AND NAKURU</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08-Sep-2020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15-Sep-2020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KE - Kenya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TF0B0615 - 2030WRG Kenya and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1270339 - PROVISION OF COMPREHENSIVE TRADE EFFLUENT WATER QUALITY ANALYSIS IN NAIROBI AND NAKURU</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Kenya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2030 Water Resources Group (2030 WRG) is a global public</w:t>
      </w:r>
      <w:r>
        <w:rPr>
          <w:rFonts w:ascii="Times" w:hAnsi="Times"/>
          <w:sz w:val="24"/>
          <w:szCs w:val="24"/>
          <w:rtl w:val="0"/>
          <w:lang w:val="en-US"/>
        </w:rPr>
        <w:t xml:space="preserve"> </w:t>
      </w:r>
      <w:r>
        <w:rPr>
          <w:rFonts w:ascii="Times" w:hAnsi="Times"/>
          <w:sz w:val="24"/>
          <w:szCs w:val="24"/>
          <w:rtl w:val="0"/>
        </w:rPr>
        <w:t>private</w:t>
      </w:r>
      <w:r>
        <w:rPr>
          <w:rFonts w:ascii="Times" w:hAnsi="Times"/>
          <w:sz w:val="24"/>
          <w:szCs w:val="24"/>
          <w:rtl w:val="0"/>
          <w:lang w:val="en-US"/>
        </w:rPr>
        <w:t xml:space="preserve"> </w:t>
      </w:r>
      <w:r>
        <w:rPr>
          <w:rFonts w:ascii="Times" w:hAnsi="Times"/>
          <w:sz w:val="24"/>
          <w:szCs w:val="24"/>
          <w:rtl w:val="0"/>
          <w:lang w:val="en-US"/>
        </w:rPr>
        <w:t>civil society partnership. It was established at the World Economic Forum to support countries to drive action and develop solutions that will close the growing gap between water supply and demand. The 2030 WRG is hosted by the World Bank Group Water Global Practice. In Kenya, the 2030 WRG was invited in 2014 by the Government of Kenya to support the development of a national multistakeholder partnership. The Ministry of Water and Sanitation is driving the initiative to help close the gap, along with senior leaders from the private sector and civil society. Kenyas 2030 WRG partnership aims to improve the use of water across all key economic sectors by improving agricultural water productivity; strengthening urban and industrial water efficiency and reuse; and creating new financing mechanisms for improved demand management.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services to be rendered by the Consultant Firm under this RFP are aimed at providing a comprehensive effluent water quality analysis of the existing wastewater discharged by commercial clients of the Water Service Providers into the public sewage system managed by the two utilities and to use the information to develop a risk-based trade effluent surcharge.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main objective of the assignment is;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To conduct composite sampling and laboratory analysis for effluent water quality discharged by a sample of commercial premises in each WSPs service area and prepare a complete and detailed report with breakdown of effluent characteristics based on commercial activity type.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Scope of Service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scope of services under this RFP consists of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Collect on-site composite samples from the industrial/commercial clients prioritized for sampling and analysis.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Undertake effluent water quality analysis of collected samples covering all the typical pollutants limited and controlled by the utilities and guided by EMCA 1999 standards and regulations.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 The presence, concentrations and levels of contaminates to be analyzed should include but not limited to; toxic Metals (Chromium, Lead, Mercury, Zinc, Copper, etc.), Chemical Oxygen Demand (COD), Biochemical Oxygen Demand (BOD), Organics (Hydrocarbons, Pesticides, Herbicides), Flammable Substances. A tentative list is provided in Annex I. The final list will be concluded during the Inception stage.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o The following sectors have been preliminarily identified as high-risk and would be useful for consideration for sample effluent water analysis;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leather and tanneries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 xml:space="preserve">textiles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soap and detergents,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bakeries and confectioners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edible oils and fats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 xml:space="preserve">dairy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cosmetics, paints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pharmaceuticals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food &amp; beverage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breweries and distilleries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petrol stations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hotels and fast food restaurants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laundries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meat, poultry products &amp; slaughterhouses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paper and pulp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printing and publishing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hospitals and clinics,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shopping malls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cigarette and tobacco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steel and metal mills,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garages/motor vehicle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Participating in discussions with 2030WRG, Danish Strategic Sector Cooperation (SSC) Program and TEMS project teams from NAWASSCO and NCWSC on what the current procedures for trade effluent sampling and analysis are and expectations of scope of services to be provided by the contractor, limitations and challenges; The consultant firm will be expected to work closely with the Laboratory Teams from the two WSPs during the sampling and analysis processes including training the WSPs counterpart staff on how to effectively participate in the exercise and undertake subsequent related tasks beyond the assignment.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Consolidate the results in an excel report including undertaking necessary data mining, statistical analysis and identification of emerging trends and patterns relevant for the expected use of the analysis results i.e. for the design of a risk-based trade effluent surcharge mechanism as described above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Methodology and workplan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consultant firm will be required to indicate the methodology and approach to be applied in undertaking the above tasks, with a clear indication and justification for the techniques to be used taking into consideration the limitation posed by the COVID -19 pandemic and appropriate health and safety protocols.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costings to be done on 3 composite sample points from 20 industries (to be confirmed during inception).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Notes on Safety measures: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It will be the sole responsibility of the consultant firm to ensure that all their staff and workers are equipped with Personal Protection Equipment (PPEs) while providing the above services. No person will be allowed at site without having proper PPE. The contractor shall safeguard his equipment, personal and all other resources from vandalism and trespassing at his/her own cost. The cost of all safety measures mentioned above, and any other internationally practiced measures shall not be quoted separately but will be deemed covered in the price of bidder. A breach to any of the safety measures can lead to the termination of contract.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Deliverables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consultant shall develop and submit;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Inception report highlighting the methodology of analysis that will be used and workplan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Comprehensive analysis report of the quality and quantity of discharges and effluent characteristics from selected clients based on business activity type for each utility from each composite sampling point.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All sample analysis results provided as an excel spreadsheet. The final nature of the reporting format to be discussed during inception phase.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Period of the Assignment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duration of the assignment is expected to be 3 months beginning October 2020 and ending latest by January 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- 2030WRG Kenya and Ethiopia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"https://wbgeconsult2.worldbank.org/wbgect/download?uuid=dad59fce-a60c-4adb-948c-17ceb61486c1"</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undefined</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