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R</w:t>
      </w:r>
      <w:r>
        <w:rPr>
          <w:rFonts w:ascii="Times" w:hAnsi="Times"/>
          <w:sz w:val="24"/>
          <w:szCs w:val="24"/>
          <w:rtl w:val="0"/>
          <w:lang w:val="en-US"/>
        </w:rPr>
        <w:t>equest for expression of interest for selection # 1270512</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Title</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AQUACULTURE WASTE </w:t>
      </w:r>
      <w:r>
        <w:rPr>
          <w:rFonts w:ascii="Times" w:hAnsi="Times"/>
          <w:sz w:val="24"/>
          <w:szCs w:val="24"/>
          <w:rtl w:val="0"/>
          <w:lang w:val="en-US"/>
        </w:rPr>
        <w:t>MANAGEMENT</w:t>
      </w:r>
      <w:r>
        <w:rPr>
          <w:rFonts w:ascii="Times" w:hAnsi="Times"/>
          <w:sz w:val="24"/>
          <w:szCs w:val="24"/>
          <w:rtl w:val="0"/>
          <w:lang w:val="en-US"/>
        </w:rPr>
        <w:t xml:space="preserve"> STUDY AND TECHNICAL TRANSFER PLANNING FROM KOREA TO PAKISTAN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Publication Date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rPr>
        <w:t>18-Sep-2020</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Expression of Interest Deadline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 xml:space="preserve">05-Oct-2020 at 11:59:59 PM (Eastern Time </w:t>
      </w:r>
      <w:r>
        <w:rPr>
          <w:rFonts w:ascii="Times" w:hAnsi="Times" w:hint="default"/>
          <w:sz w:val="24"/>
          <w:szCs w:val="24"/>
          <w:rtl w:val="0"/>
        </w:rPr>
        <w:t xml:space="preserve">– </w:t>
      </w:r>
      <w:r>
        <w:rPr>
          <w:rFonts w:ascii="Times" w:hAnsi="Times"/>
          <w:sz w:val="24"/>
          <w:szCs w:val="24"/>
          <w:rtl w:val="0"/>
          <w:lang w:val="it-IT"/>
        </w:rPr>
        <w:t>Washington D.C.)</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Language of Notice</w:t>
      </w:r>
    </w:p>
    <w:p>
      <w:pPr>
        <w:pStyle w:val="Default"/>
        <w:bidi w:val="0"/>
        <w:ind w:left="0" w:right="0" w:firstLine="0"/>
        <w:jc w:val="left"/>
        <w:rPr>
          <w:rFonts w:ascii="Times" w:cs="Times" w:hAnsi="Times" w:eastAsia="Times"/>
          <w:sz w:val="24"/>
          <w:szCs w:val="24"/>
          <w:rtl w:val="0"/>
        </w:rPr>
      </w:pPr>
      <w:r>
        <w:rPr>
          <w:rFonts w:ascii="Times" w:hAnsi="Times" w:hint="default"/>
          <w:sz w:val="24"/>
          <w:szCs w:val="24"/>
          <w:rtl w:val="0"/>
        </w:rPr>
        <w:t> </w:t>
      </w:r>
      <w:r>
        <w:rPr>
          <w:rFonts w:ascii="Times" w:hAnsi="Times"/>
          <w:sz w:val="24"/>
          <w:szCs w:val="24"/>
          <w:rtl w:val="0"/>
          <w:lang w:val="en-US"/>
        </w:rPr>
        <w:t>English</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Country</w:t>
      </w:r>
    </w:p>
    <w:p>
      <w:pPr>
        <w:pStyle w:val="Default"/>
        <w:numPr>
          <w:ilvl w:val="0"/>
          <w:numId w:val="2"/>
        </w:numPr>
        <w:bidi w:val="0"/>
        <w:ind w:right="0"/>
        <w:jc w:val="left"/>
        <w:rPr>
          <w:rFonts w:ascii="Times" w:hAnsi="Times"/>
          <w:sz w:val="24"/>
          <w:szCs w:val="24"/>
          <w:rtl w:val="0"/>
        </w:rPr>
      </w:pPr>
      <w:r>
        <w:rPr>
          <w:rFonts w:ascii="Times" w:hAnsi="Times"/>
          <w:sz w:val="24"/>
          <w:szCs w:val="24"/>
          <w:rtl w:val="0"/>
        </w:rPr>
        <w:t>PK - Pakistan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Funding Sources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World Bank Group intends to finance the assignment/services under:</w:t>
      </w:r>
    </w:p>
    <w:p>
      <w:pPr>
        <w:pStyle w:val="Default"/>
        <w:numPr>
          <w:ilvl w:val="0"/>
          <w:numId w:val="2"/>
        </w:numPr>
        <w:bidi w:val="0"/>
        <w:ind w:right="0"/>
        <w:jc w:val="left"/>
        <w:rPr>
          <w:rFonts w:ascii="Times" w:hAnsi="Times"/>
          <w:sz w:val="24"/>
          <w:szCs w:val="24"/>
          <w:rtl w:val="0"/>
          <w:lang w:val="de-DE"/>
        </w:rPr>
      </w:pPr>
      <w:r>
        <w:rPr>
          <w:rFonts w:ascii="Times" w:hAnsi="Times"/>
          <w:sz w:val="24"/>
          <w:szCs w:val="24"/>
          <w:rtl w:val="0"/>
          <w:lang w:val="de-DE"/>
        </w:rPr>
        <w:t>BB - BANK BUDGET</w:t>
      </w:r>
    </w:p>
    <w:p>
      <w:pPr>
        <w:pStyle w:val="Default"/>
        <w:numPr>
          <w:ilvl w:val="0"/>
          <w:numId w:val="2"/>
        </w:numPr>
        <w:bidi w:val="0"/>
        <w:ind w:right="0"/>
        <w:jc w:val="left"/>
        <w:rPr>
          <w:rFonts w:ascii="Times" w:hAnsi="Times"/>
          <w:sz w:val="24"/>
          <w:szCs w:val="24"/>
          <w:rtl w:val="0"/>
          <w:lang w:val="en-US"/>
        </w:rPr>
      </w:pPr>
      <w:r>
        <w:rPr>
          <w:rFonts w:ascii="Times" w:hAnsi="Times"/>
          <w:sz w:val="24"/>
          <w:szCs w:val="24"/>
          <w:rtl w:val="0"/>
          <w:lang w:val="en-US"/>
        </w:rPr>
        <w:t>TF0B2647 - Aquaculture Waste Management in Pakistan</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Individual/Firm</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The consultant will be a firm. </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Assignment Description</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Pakistan is the worlds sixth-most populous country in the world, with a population of more than 200 million people in 2019. Fisheries in Pakistan employ 390,000 people directly, and when secondary jobs such as processing, transporting, and retailing are considered, the number rises up to 1,800,000 jobs in total.</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Aquaculture is a rather recent activity in Pakistan and is still in its infancy, nevertheless there is immense potential for development of the sector. Despite its vast fresh, brackish and marine water resources only carp culture is practiced in inland waters and only on a limited scale. Trials experimenting with shrimp culture was carried out in the Indus delta region but at a limited scale. In Pakistan, the fish fauna is rich but only seven warm water species and two cold water species are cultivated on a commercial scale.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 xml:space="preserve">Currently the International Development Assistance (IDA) financing project, entitled Advancing Sustainable Aquaculture of Pakistan - ASAP is under preparation. The ASAP project will be implemented with a comprehensive approach, centered around Ecosystem Approach to Aquaculture (EAA), and include EAA zoning, reviewing and proposing of enabling environment of policies and regulations, collaboration and integration with public and private entities, capacities/skills/educational development. The ASAP project would seek to improve and expand the existing seafood industry to double the volume of production to 320,000 tons per annum, improve quality and reduce price of product on domestic markets and broaden the diversity of investments (i.e., resilience) along the seafood value chain through diversification of product lines and development of international export markets, increased food safety, and less risky production systems. Strategic government investments in technical assistance in best production, disease management and food safety technology, coupled to financing incentives, will reduce risk and leverage increasing commercial bank and other private sector investment. </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Korea World Bank Partnership Facility Trust Fund will be implemented together with IDA financing ASAP project preparation and implementation. The trust fund proposed activity of better aquaculture waste management will complement the IDA ASAP project by exploring the opportunity in aquaculture waste management aspects. Aquaculture waste management is essential for expansion of sustainable commercial aquaculture. The grant activity will give an opportunity for Pakistan to have better waste management at an early stage, by learning through advanced techniques in Korea.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While aquaculture in Pakistan is still new, aquaculture in Korea has a long history. Korea is one of the top 15 countries in the world that has the highest aquaculture production. Aquaculture production has been steadily increasing and aquaculture has become a very important sector in Korea. It provides food security, revenue and employment to the country. With the development of new technologies, aquaculture production has increased to account for more than one third of total fishery production in Korea.</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The overall objective of this consultancy is better aquaculture waste management in Pakistan through technical transfer of aquaculture waste management from Korea to Pakistan. The consultancy tasks are composed of three sub-tasks; (1) compiling aquaculture waste management baseline study in Pakistan with coordination with the World Bank Task Team and the Pakistani counterparts; (2) analyzing suitable advanced aquaculture techniques to be transferred to Pakistan, focusing but not limiting on advanced environmentally friendly less waste aquaculture techniques in Korea; and (3) developing two-years practical technical transfer plan from Korea to Pakistan, based on findings and recommendations of the (1) and (2) studies.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Firms responding to this EOI must have extensive knowledge and experience on advanced aquaculture techniques and aquaculture waste management in Korea, as well as extensive experience in such technical transfer from Korea to other countries. It is important for the members of the firm to be comprised of different experts with extensive knowledge and experience on different aquaculture techniques, regulations, health and operation management, economic analyst and others.</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WBG reserves the right to limit the number of qualified firms shortlisted. WBG reserves the right to verify any information provided, or to request additional information after EOI packages are received.</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en-US"/>
        </w:rPr>
        <w:t>Interested firms are requested to submit a statement of qualifications including relevant case histories to through World Bank Group eConsultant2</w:t>
      </w: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https://wbgeconsult2.worldbank.org/wbgec/index.html</w:t>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de-DE"/>
        </w:rPr>
        <w:t>Attachments</w:t>
      </w:r>
    </w:p>
    <w:p>
      <w:pPr>
        <w:pStyle w:val="Default"/>
        <w:numPr>
          <w:ilvl w:val="0"/>
          <w:numId w:val="3"/>
        </w:numPr>
        <w:bidi w:val="0"/>
        <w:ind w:right="0"/>
        <w:jc w:val="left"/>
        <w:rPr>
          <w:rFonts w:ascii="Times" w:cs="Times" w:hAnsi="Times" w:eastAsia="Times"/>
          <w:color w:val="0000ee"/>
          <w:sz w:val="24"/>
          <w:szCs w:val="24"/>
          <w:u w:val="single"/>
          <w:rtl w:val="0"/>
        </w:rPr>
      </w:pPr>
      <w:r>
        <w:rPr>
          <w:rStyle w:val="Hyperlink.0"/>
          <w:rFonts w:ascii="Times" w:cs="Times" w:hAnsi="Times" w:eastAsia="Times"/>
          <w:color w:val="0000ee"/>
          <w:sz w:val="24"/>
          <w:szCs w:val="24"/>
          <w:u w:val="single"/>
          <w:rtl w:val="0"/>
        </w:rPr>
        <w:fldChar w:fldCharType="begin" w:fldLock="0"/>
      </w:r>
      <w:r>
        <w:rPr>
          <w:rStyle w:val="Hyperlink.0"/>
          <w:rFonts w:ascii="Times" w:cs="Times" w:hAnsi="Times" w:eastAsia="Times"/>
          <w:color w:val="0000ee"/>
          <w:sz w:val="24"/>
          <w:szCs w:val="24"/>
          <w:u w:val="single"/>
          <w:rtl w:val="0"/>
        </w:rPr>
        <w:instrText xml:space="preserve"> HYPERLINK "https://wbgeconsult2.worldbank.org/wbgect/download?uuid=af67eed8-0754-4df1-9a8f-e099ddaca36a"</w:instrText>
      </w:r>
      <w:r>
        <w:rPr>
          <w:rStyle w:val="Hyperlink.0"/>
          <w:rFonts w:ascii="Times" w:cs="Times" w:hAnsi="Times" w:eastAsia="Times"/>
          <w:color w:val="0000ee"/>
          <w:sz w:val="24"/>
          <w:szCs w:val="24"/>
          <w:u w:val="single"/>
          <w:rtl w:val="0"/>
        </w:rPr>
        <w:fldChar w:fldCharType="separate" w:fldLock="0"/>
      </w:r>
      <w:r>
        <w:rPr>
          <w:rStyle w:val="Hyperlink.0"/>
          <w:rFonts w:ascii="Times" w:hAnsi="Times"/>
          <w:color w:val="0000ee"/>
          <w:sz w:val="24"/>
          <w:szCs w:val="24"/>
          <w:u w:val="single"/>
          <w:rtl w:val="0"/>
          <w:lang w:val="en-US"/>
        </w:rPr>
        <w:t>Optional TOR File</w:t>
      </w:r>
      <w:r>
        <w:rPr>
          <w:rFonts w:ascii="Times" w:cs="Times" w:hAnsi="Times" w:eastAsia="Times"/>
          <w:color w:val="0000ee"/>
          <w:sz w:val="24"/>
          <w:szCs w:val="24"/>
          <w:u w:val="single"/>
          <w:rtl w:val="0"/>
        </w:rPr>
        <w:fldChar w:fldCharType="end" w:fldLock="0"/>
      </w:r>
    </w:p>
    <w:p>
      <w:pPr>
        <w:pStyle w:val="Default"/>
        <w:bidi w:val="0"/>
        <w:ind w:left="0" w:right="0" w:firstLine="0"/>
        <w:jc w:val="left"/>
        <w:rPr>
          <w:rFonts w:ascii="Times" w:cs="Times" w:hAnsi="Times" w:eastAsia="Times"/>
          <w:sz w:val="24"/>
          <w:szCs w:val="24"/>
          <w:rtl w:val="0"/>
        </w:rPr>
      </w:pPr>
    </w:p>
    <w:p>
      <w:pPr>
        <w:pStyle w:val="Default"/>
        <w:bidi w:val="0"/>
        <w:ind w:left="0" w:right="0" w:firstLine="0"/>
        <w:jc w:val="left"/>
        <w:rPr>
          <w:rFonts w:ascii="Times" w:cs="Times" w:hAnsi="Times" w:eastAsia="Times"/>
          <w:sz w:val="24"/>
          <w:szCs w:val="24"/>
          <w:rtl w:val="0"/>
        </w:rPr>
      </w:pPr>
      <w:r>
        <w:rPr>
          <w:rFonts w:ascii="Times" w:hAnsi="Times"/>
          <w:sz w:val="24"/>
          <w:szCs w:val="24"/>
          <w:rtl w:val="0"/>
          <w:lang w:val="it-IT"/>
        </w:rPr>
        <w:t>Qualification Criteria</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1.</w:t>
      </w:r>
      <w:r>
        <w:rPr>
          <w:rFonts w:ascii="Times" w:hAnsi="Times"/>
          <w:sz w:val="24"/>
          <w:szCs w:val="24"/>
          <w:rtl w:val="0"/>
          <w:lang w:val="en-US"/>
        </w:rPr>
        <w:t xml:space="preserve"> Provide information showing that they are qualified in the field of the assignment.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2.</w:t>
      </w:r>
      <w:r>
        <w:rPr>
          <w:rFonts w:ascii="Times" w:hAnsi="Times"/>
          <w:sz w:val="24"/>
          <w:szCs w:val="24"/>
          <w:rtl w:val="0"/>
          <w:lang w:val="en-US"/>
        </w:rPr>
        <w:t xml:space="preserve"> Provide information on the technical and managerial capabilities of the firm.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3.</w:t>
      </w:r>
      <w:r>
        <w:rPr>
          <w:rFonts w:ascii="Times" w:hAnsi="Times"/>
          <w:sz w:val="24"/>
          <w:szCs w:val="24"/>
          <w:rtl w:val="0"/>
          <w:lang w:val="en-US"/>
        </w:rPr>
        <w:t xml:space="preserve"> Provide information on their core business and years in business. *</w:t>
      </w:r>
    </w:p>
    <w:p>
      <w:pPr>
        <w:pStyle w:val="Default"/>
        <w:numPr>
          <w:ilvl w:val="0"/>
          <w:numId w:val="4"/>
        </w:numPr>
        <w:bidi w:val="0"/>
        <w:ind w:right="0"/>
        <w:jc w:val="left"/>
        <w:rPr>
          <w:rFonts w:ascii="Times" w:hAnsi="Times"/>
          <w:sz w:val="24"/>
          <w:szCs w:val="24"/>
          <w:rtl w:val="0"/>
        </w:rPr>
      </w:pPr>
      <w:r>
        <w:rPr>
          <w:rFonts w:ascii="Times" w:hAnsi="Times"/>
          <w:b w:val="1"/>
          <w:bCs w:val="1"/>
          <w:sz w:val="24"/>
          <w:szCs w:val="24"/>
          <w:rtl w:val="0"/>
        </w:rPr>
        <w:t>4.</w:t>
      </w:r>
      <w:r>
        <w:rPr>
          <w:rFonts w:ascii="Times" w:hAnsi="Times"/>
          <w:sz w:val="24"/>
          <w:szCs w:val="24"/>
          <w:rtl w:val="0"/>
          <w:lang w:val="en-US"/>
        </w:rPr>
        <w:t xml:space="preserve"> Provide information on the qualifications of key staff. *</w:t>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Times">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Bullet"/>
  </w:abstractNum>
  <w:abstractNum w:abstractNumId="1">
    <w:multiLevelType w:val="hybridMultilevel"/>
    <w:styleLink w:val="Bullet"/>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00"/>
        <w:spacing w:val="0"/>
        <w:w w:val="100"/>
        <w:kern w:val="0"/>
        <w:position w:val="-2"/>
        <w:highlight w:val="none"/>
        <w:vertAlign w:val="baseline"/>
      </w:rPr>
    </w:lvl>
  </w:abstractNum>
  <w:num w:numId="1">
    <w:abstractNumId w:val="1"/>
  </w:num>
  <w:num w:numId="2">
    <w:abstractNumId w:val="0"/>
  </w:num>
  <w:num w:numId="3">
    <w:abstractNumId w:val="0"/>
    <w:lvlOverride w:ilvl="0">
      <w:lvl w:ilvl="0">
        <w:start w:val="1"/>
        <w:numFmt w:val="bullet"/>
        <w:suff w:val="tab"/>
        <w:lvlText w:val="•"/>
        <w:lvlJc w:val="left"/>
        <w:pPr>
          <w:ind w:left="7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0"/>
          <w:bCs w:val="0"/>
          <w:i w:val="0"/>
          <w:iCs w:val="0"/>
          <w:caps w:val="0"/>
          <w:smallCaps w:val="0"/>
          <w:strike w:val="0"/>
          <w:dstrike w:val="0"/>
          <w:outline w:val="0"/>
          <w:emboss w:val="0"/>
          <w:imprint w:val="0"/>
          <w:color w:val="0000ee"/>
          <w:spacing w:val="0"/>
          <w:w w:val="100"/>
          <w:kern w:val="0"/>
          <w:position w:val="-2"/>
          <w:highlight w:val="none"/>
          <w:vertAlign w:val="baseline"/>
        </w:rPr>
      </w:lvl>
    </w:lvlOverride>
  </w:num>
  <w:num w:numId="4">
    <w:abstractNumId w:val="0"/>
    <w:lvlOverride w:ilvl="0">
      <w:lvl w:ilvl="0">
        <w:start w:val="1"/>
        <w:numFmt w:val="bullet"/>
        <w:suff w:val="tab"/>
        <w:lvlText w:val="•"/>
        <w:lvlJc w:val="left"/>
        <w:pPr>
          <w:ind w:left="7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1">
      <w:lvl w:ilvl="1">
        <w:start w:val="1"/>
        <w:numFmt w:val="bullet"/>
        <w:suff w:val="tab"/>
        <w:lvlText w:val="•"/>
        <w:lvlJc w:val="left"/>
        <w:pPr>
          <w:ind w:left="9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2">
      <w:lvl w:ilvl="2">
        <w:start w:val="1"/>
        <w:numFmt w:val="bullet"/>
        <w:suff w:val="tab"/>
        <w:lvlText w:val="•"/>
        <w:lvlJc w:val="left"/>
        <w:pPr>
          <w:ind w:left="11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3">
      <w:lvl w:ilvl="3">
        <w:start w:val="1"/>
        <w:numFmt w:val="bullet"/>
        <w:suff w:val="tab"/>
        <w:lvlText w:val="•"/>
        <w:lvlJc w:val="left"/>
        <w:pPr>
          <w:ind w:left="13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4">
      <w:lvl w:ilvl="4">
        <w:start w:val="1"/>
        <w:numFmt w:val="bullet"/>
        <w:suff w:val="tab"/>
        <w:lvlText w:val="•"/>
        <w:lvlJc w:val="left"/>
        <w:pPr>
          <w:ind w:left="160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5">
      <w:lvl w:ilvl="5">
        <w:start w:val="1"/>
        <w:numFmt w:val="bullet"/>
        <w:suff w:val="tab"/>
        <w:lvlText w:val="•"/>
        <w:lvlJc w:val="left"/>
        <w:pPr>
          <w:ind w:left="182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6">
      <w:lvl w:ilvl="6">
        <w:start w:val="1"/>
        <w:numFmt w:val="bullet"/>
        <w:suff w:val="tab"/>
        <w:lvlText w:val="•"/>
        <w:lvlJc w:val="left"/>
        <w:pPr>
          <w:ind w:left="204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7">
      <w:lvl w:ilvl="7">
        <w:start w:val="1"/>
        <w:numFmt w:val="bullet"/>
        <w:suff w:val="tab"/>
        <w:lvlText w:val="•"/>
        <w:lvlJc w:val="left"/>
        <w:pPr>
          <w:ind w:left="226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lvlOverride w:ilvl="8">
      <w:lvl w:ilvl="8">
        <w:start w:val="1"/>
        <w:numFmt w:val="bullet"/>
        <w:suff w:val="tab"/>
        <w:lvlText w:val="•"/>
        <w:lvlJc w:val="left"/>
        <w:pPr>
          <w:ind w:left="2480" w:hanging="500"/>
        </w:pPr>
        <w:rPr>
          <w:rFonts w:ascii="Times" w:cs="Times" w:hAnsi="Times" w:eastAsia="Times"/>
          <w:b w:val="1"/>
          <w:bCs w:val="1"/>
          <w:i w:val="0"/>
          <w:iCs w:val="0"/>
          <w:caps w:val="0"/>
          <w:smallCaps w:val="0"/>
          <w:strike w:val="0"/>
          <w:dstrike w:val="0"/>
          <w:outline w:val="0"/>
          <w:emboss w:val="0"/>
          <w:imprint w:val="0"/>
          <w:color w:val="000000"/>
          <w:spacing w:val="0"/>
          <w:w w:val="100"/>
          <w:kern w:val="0"/>
          <w:position w:val="-2"/>
          <w:highlight w:val="none"/>
          <w:vertAlign w:val="baseline"/>
        </w:rPr>
      </w:lvl>
    </w:lvlOverride>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en-US"/>
    </w:rPr>
  </w:style>
  <w:style w:type="numbering" w:styleId="Bullet">
    <w:name w:val="Bullet"/>
    <w:pPr>
      <w:numPr>
        <w:numId w:val="1"/>
      </w:numPr>
    </w:pPr>
  </w:style>
  <w:style w:type="character" w:styleId="Hyperlink.0">
    <w:name w:val="Hyperlink.0"/>
    <w:basedOn w:val="Hyperlink"/>
    <w:next w:val="Hyperlink.0"/>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