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1268913</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Consultancy Services to Prepare a Business Plan and Financial Model for the Kenyan Geothermal Development Corporation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rPr>
        <w:t>01-Jun-2020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17-Jun-2020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rPr>
      </w:pPr>
      <w:r>
        <w:rPr>
          <w:rFonts w:ascii="Times" w:hAnsi="Times"/>
          <w:sz w:val="24"/>
          <w:szCs w:val="24"/>
          <w:rtl w:val="0"/>
        </w:rPr>
        <w:t>KE - Kenya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TF0B1666 - Renewable Energy Development and Institutional Development in Kenya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 1268913 - Consultancy Services to Prepare a Business Plan and Financial Model for the Kenyan Geothermal Development Corporation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bidi w:val="0"/>
        <w:ind w:left="0" w:right="0" w:firstLine="0"/>
        <w:jc w:val="left"/>
        <w:rPr>
          <w:rFonts w:ascii="Times" w:cs="Times" w:hAnsi="Times" w:eastAsia="Times"/>
          <w:sz w:val="24"/>
          <w:szCs w:val="24"/>
          <w:rtl w:val="0"/>
        </w:rPr>
      </w:pPr>
      <w:r>
        <w:rPr>
          <w:rFonts w:ascii="Times" w:hAnsi="Times"/>
          <w:sz w:val="24"/>
          <w:szCs w:val="24"/>
          <w:rtl w:val="0"/>
        </w:rPr>
        <w:t>- Kenya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is seeking to hire a Consultant to support GDC in developing a comprehensive business plan and financial model. The business plan and financial model will ensure that GDC is taking full advantage of revenue-generating opportunities arising from growing demand for geothermal power in Kenya, and that it is using its financial resources as efficiently as possible.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 / services described below under the following: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Renewable Energy Development and Institutional Development in Kenya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a-DK"/>
        </w:rPr>
        <w:t>ELIGIBILITY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Attachments</w:t>
      </w:r>
    </w:p>
    <w:p>
      <w:pPr>
        <w:pStyle w:val="Default"/>
        <w:numPr>
          <w:ilvl w:val="0"/>
          <w:numId w:val="3"/>
        </w:numPr>
        <w:bidi w:val="0"/>
        <w:ind w:right="0"/>
        <w:jc w:val="left"/>
        <w:rPr>
          <w:rFonts w:ascii="Times" w:cs="Times" w:hAnsi="Times" w:eastAsia="Times"/>
          <w:color w:val="0000ee"/>
          <w:sz w:val="24"/>
          <w:szCs w:val="24"/>
          <w:u w:val="single"/>
          <w:rtl w:val="0"/>
        </w:rPr>
      </w:pPr>
      <w:r>
        <w:rPr>
          <w:rStyle w:val="Hyperlink.0"/>
          <w:rFonts w:ascii="Times" w:cs="Times" w:hAnsi="Times" w:eastAsia="Times"/>
          <w:color w:val="0000ee"/>
          <w:sz w:val="24"/>
          <w:szCs w:val="24"/>
          <w:u w:val="single"/>
          <w:rtl w:val="0"/>
        </w:rPr>
        <w:fldChar w:fldCharType="begin" w:fldLock="0"/>
      </w:r>
      <w:r>
        <w:rPr>
          <w:rStyle w:val="Hyperlink.0"/>
          <w:rFonts w:ascii="Times" w:cs="Times" w:hAnsi="Times" w:eastAsia="Times"/>
          <w:color w:val="0000ee"/>
          <w:sz w:val="24"/>
          <w:szCs w:val="24"/>
          <w:u w:val="single"/>
          <w:rtl w:val="0"/>
        </w:rPr>
        <w:instrText xml:space="preserve"> HYPERLINK "https://wbgeconsult2.worldbank.org/wbgect/download?uuid=6f7929db-5810-4619-bc97-1599c9eaa10c"</w:instrText>
      </w:r>
      <w:r>
        <w:rPr>
          <w:rStyle w:val="Hyperlink.0"/>
          <w:rFonts w:ascii="Times" w:cs="Times" w:hAnsi="Times" w:eastAsia="Times"/>
          <w:color w:val="0000ee"/>
          <w:sz w:val="24"/>
          <w:szCs w:val="24"/>
          <w:u w:val="single"/>
          <w:rtl w:val="0"/>
        </w:rPr>
        <w:fldChar w:fldCharType="separate" w:fldLock="0"/>
      </w:r>
      <w:r>
        <w:rPr>
          <w:rStyle w:val="Hyperlink.0"/>
          <w:rFonts w:ascii="Times" w:hAnsi="Times"/>
          <w:color w:val="0000ee"/>
          <w:sz w:val="24"/>
          <w:szCs w:val="24"/>
          <w:u w:val="single"/>
          <w:rtl w:val="0"/>
          <w:lang w:val="en-US"/>
        </w:rPr>
        <w:t>Optional TOR File</w:t>
      </w:r>
      <w:r>
        <w:rPr>
          <w:rFonts w:ascii="Times" w:cs="Times" w:hAnsi="Times" w:eastAsia="Times"/>
          <w:color w:val="0000ee"/>
          <w:sz w:val="24"/>
          <w:szCs w:val="24"/>
          <w:u w:val="single"/>
          <w:rtl w:val="0"/>
        </w:rPr>
        <w:fldChar w:fldCharType="end" w:fldLock="0"/>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 *</w:t>
      </w:r>
    </w:p>
    <w:p>
      <w:pPr>
        <w:pStyle w:val="Default"/>
        <w:bidi w:val="0"/>
        <w:ind w:left="0" w:right="0" w:firstLine="0"/>
        <w:jc w:val="left"/>
        <w:rPr>
          <w:rtl w:val="0"/>
        </w:rPr>
      </w:pPr>
      <w:r>
        <w:rPr>
          <w:rFonts w:ascii="Times" w:hAnsi="Times"/>
          <w:sz w:val="24"/>
          <w:szCs w:val="24"/>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num>
  <w:num w:numId="4">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