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1267693</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Achieving Energy Access through Off-Grid Solar: The Use of Public Funding</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30-Mar-2020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22-Apr-2020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spacing w:line="280" w:lineRule="atLeast"/>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TF0A5090 - Lighting Global - ESMAP own-manage</w:t>
      </w:r>
      <w:r>
        <w:rPr>
          <w:rFonts w:ascii="Times" w:hAnsi="Times"/>
          <w:sz w:val="24"/>
          <w:szCs w:val="24"/>
          <w:rtl w:val="0"/>
          <w:lang w:val="en-US"/>
        </w:rPr>
        <w:t>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rPr>
        <w:t>Individual/Firm</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under the Lighting Global Team is seeking to hire a firm to support the publication of a working paper that will provide in-depth technical advice and guidance regarding different ways in which public funding can be deployed to support uptake of off-grid solar. Based on case studies and key informant interviews with development professionals and public officials, it will identify the advantages, disadvantages, risks and opportunities involved in each approach. The paper will present, two broad categories of public funding mechanisms supply side and demand side. The main public funding mechanisms to be presented in the working paper are expected to include: tax exemptions, grants, RBF, concessional financing, credit guarantees, and various demand-side subsidies. The key deliverable will be critical inputs to the working paper itself., working closely with the Lighting Global team.</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spacing w:line="280" w:lineRule="atLeast"/>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