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6E96" w:rsidRPr="00BB6E96" w:rsidRDefault="00F16CDC" w:rsidP="00BB6E96">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BB6E96" w:rsidRPr="00BB6E96">
        <w:rPr>
          <w:rFonts w:ascii="Times New Roman" w:eastAsia="Times New Roman" w:hAnsi="Times New Roman" w:cs="Times New Roman"/>
          <w:sz w:val="24"/>
          <w:szCs w:val="24"/>
          <w:lang w:eastAsia="nl-NL"/>
        </w:rPr>
        <w:t>equest for expression of interest for selection # 1265488</w:t>
      </w:r>
    </w:p>
    <w:p w:rsidR="00F16CDC" w:rsidRDefault="00F16CDC" w:rsidP="00BB6E96">
      <w:pPr>
        <w:spacing w:after="0" w:line="240" w:lineRule="auto"/>
        <w:rPr>
          <w:rFonts w:ascii="Times New Roman" w:eastAsia="Times New Roman" w:hAnsi="Times New Roman" w:cs="Times New Roman"/>
          <w:sz w:val="24"/>
          <w:szCs w:val="24"/>
          <w:lang w:eastAsia="nl-NL"/>
        </w:rPr>
      </w:pPr>
    </w:p>
    <w:p w:rsidR="00BB6E96" w:rsidRPr="00BB6E96" w:rsidRDefault="00BB6E96" w:rsidP="00BB6E96">
      <w:pPr>
        <w:spacing w:after="0" w:line="240" w:lineRule="auto"/>
        <w:rPr>
          <w:rFonts w:ascii="Times New Roman" w:eastAsia="Times New Roman" w:hAnsi="Times New Roman" w:cs="Times New Roman"/>
          <w:sz w:val="24"/>
          <w:szCs w:val="24"/>
          <w:lang w:eastAsia="nl-NL"/>
        </w:rPr>
      </w:pPr>
      <w:r w:rsidRPr="00BB6E96">
        <w:rPr>
          <w:rFonts w:ascii="Times New Roman" w:eastAsia="Times New Roman" w:hAnsi="Times New Roman" w:cs="Times New Roman"/>
          <w:sz w:val="24"/>
          <w:szCs w:val="24"/>
          <w:lang w:eastAsia="nl-NL"/>
        </w:rPr>
        <w:t>Assignment Title</w:t>
      </w:r>
    </w:p>
    <w:p w:rsidR="00BB6E96" w:rsidRPr="00BB6E96" w:rsidRDefault="00BB6E96" w:rsidP="00BB6E96">
      <w:pPr>
        <w:spacing w:after="0" w:line="240" w:lineRule="auto"/>
        <w:rPr>
          <w:rFonts w:ascii="Times New Roman" w:eastAsia="Times New Roman" w:hAnsi="Times New Roman" w:cs="Times New Roman"/>
          <w:sz w:val="24"/>
          <w:szCs w:val="24"/>
          <w:lang w:eastAsia="nl-NL"/>
        </w:rPr>
      </w:pPr>
      <w:bookmarkStart w:id="0" w:name="_GoBack"/>
      <w:r w:rsidRPr="00BB6E96">
        <w:rPr>
          <w:rFonts w:ascii="Times New Roman" w:eastAsia="Times New Roman" w:hAnsi="Times New Roman" w:cs="Times New Roman"/>
          <w:sz w:val="24"/>
          <w:szCs w:val="24"/>
          <w:lang w:eastAsia="nl-NL"/>
        </w:rPr>
        <w:t>Vietnam: Solar Competitive Bidding - Technical Support Substation and Solar Park Selection</w:t>
      </w:r>
    </w:p>
    <w:bookmarkEnd w:id="0"/>
    <w:p w:rsidR="00F16CDC" w:rsidRDefault="00F16CDC" w:rsidP="00BB6E96">
      <w:pPr>
        <w:spacing w:after="0" w:line="240" w:lineRule="auto"/>
        <w:rPr>
          <w:rFonts w:ascii="Times New Roman" w:eastAsia="Times New Roman" w:hAnsi="Times New Roman" w:cs="Times New Roman"/>
          <w:sz w:val="24"/>
          <w:szCs w:val="24"/>
          <w:lang w:eastAsia="nl-NL"/>
        </w:rPr>
      </w:pPr>
    </w:p>
    <w:p w:rsidR="00BB6E96" w:rsidRPr="00BB6E96" w:rsidRDefault="00BB6E96" w:rsidP="00BB6E96">
      <w:pPr>
        <w:spacing w:after="0" w:line="240" w:lineRule="auto"/>
        <w:rPr>
          <w:rFonts w:ascii="Times New Roman" w:eastAsia="Times New Roman" w:hAnsi="Times New Roman" w:cs="Times New Roman"/>
          <w:sz w:val="24"/>
          <w:szCs w:val="24"/>
          <w:lang w:eastAsia="nl-NL"/>
        </w:rPr>
      </w:pPr>
      <w:r w:rsidRPr="00BB6E96">
        <w:rPr>
          <w:rFonts w:ascii="Times New Roman" w:eastAsia="Times New Roman" w:hAnsi="Times New Roman" w:cs="Times New Roman"/>
          <w:sz w:val="24"/>
          <w:szCs w:val="24"/>
          <w:lang w:eastAsia="nl-NL"/>
        </w:rPr>
        <w:t>Publication Date</w:t>
      </w:r>
    </w:p>
    <w:p w:rsidR="00BB6E96" w:rsidRPr="00BB6E96" w:rsidRDefault="00BB6E96" w:rsidP="00BB6E96">
      <w:pPr>
        <w:spacing w:after="0" w:line="240" w:lineRule="auto"/>
        <w:rPr>
          <w:rFonts w:ascii="Times New Roman" w:eastAsia="Times New Roman" w:hAnsi="Times New Roman" w:cs="Times New Roman"/>
          <w:sz w:val="24"/>
          <w:szCs w:val="24"/>
          <w:lang w:eastAsia="nl-NL"/>
        </w:rPr>
      </w:pPr>
      <w:r w:rsidRPr="00BB6E96">
        <w:rPr>
          <w:rFonts w:ascii="Times New Roman" w:eastAsia="Times New Roman" w:hAnsi="Times New Roman" w:cs="Times New Roman"/>
          <w:sz w:val="24"/>
          <w:szCs w:val="24"/>
          <w:lang w:eastAsia="nl-NL"/>
        </w:rPr>
        <w:t> 11-Nov-2019</w:t>
      </w:r>
    </w:p>
    <w:p w:rsidR="00F16CDC" w:rsidRDefault="00F16CDC" w:rsidP="00BB6E96">
      <w:pPr>
        <w:spacing w:after="0" w:line="240" w:lineRule="auto"/>
        <w:rPr>
          <w:rFonts w:ascii="Times New Roman" w:eastAsia="Times New Roman" w:hAnsi="Times New Roman" w:cs="Times New Roman"/>
          <w:sz w:val="24"/>
          <w:szCs w:val="24"/>
          <w:lang w:eastAsia="nl-NL"/>
        </w:rPr>
      </w:pPr>
    </w:p>
    <w:p w:rsidR="00BB6E96" w:rsidRPr="00BB6E96" w:rsidRDefault="00BB6E96" w:rsidP="00BB6E96">
      <w:pPr>
        <w:spacing w:after="0" w:line="240" w:lineRule="auto"/>
        <w:rPr>
          <w:rFonts w:ascii="Times New Roman" w:eastAsia="Times New Roman" w:hAnsi="Times New Roman" w:cs="Times New Roman"/>
          <w:sz w:val="24"/>
          <w:szCs w:val="24"/>
          <w:lang w:eastAsia="nl-NL"/>
        </w:rPr>
      </w:pPr>
      <w:r w:rsidRPr="00BB6E96">
        <w:rPr>
          <w:rFonts w:ascii="Times New Roman" w:eastAsia="Times New Roman" w:hAnsi="Times New Roman" w:cs="Times New Roman"/>
          <w:sz w:val="24"/>
          <w:szCs w:val="24"/>
          <w:lang w:eastAsia="nl-NL"/>
        </w:rPr>
        <w:t>Expression of Interest Deadline</w:t>
      </w:r>
    </w:p>
    <w:p w:rsidR="00BB6E96" w:rsidRPr="00BB6E96" w:rsidRDefault="00BB6E96" w:rsidP="00BB6E96">
      <w:pPr>
        <w:spacing w:after="0" w:line="240" w:lineRule="auto"/>
        <w:rPr>
          <w:rFonts w:ascii="Times New Roman" w:eastAsia="Times New Roman" w:hAnsi="Times New Roman" w:cs="Times New Roman"/>
          <w:sz w:val="24"/>
          <w:szCs w:val="24"/>
          <w:lang w:eastAsia="nl-NL"/>
        </w:rPr>
      </w:pPr>
      <w:r w:rsidRPr="00BB6E96">
        <w:rPr>
          <w:rFonts w:ascii="Times New Roman" w:eastAsia="Times New Roman" w:hAnsi="Times New Roman" w:cs="Times New Roman"/>
          <w:sz w:val="24"/>
          <w:szCs w:val="24"/>
          <w:lang w:eastAsia="nl-NL"/>
        </w:rPr>
        <w:t> 28-Nov-2019 at 11:59:59 PM (Eastern Time – Washington D.C.)</w:t>
      </w:r>
    </w:p>
    <w:p w:rsidR="00F16CDC" w:rsidRDefault="00F16CDC" w:rsidP="00BB6E96">
      <w:pPr>
        <w:spacing w:after="0" w:line="240" w:lineRule="auto"/>
        <w:rPr>
          <w:rFonts w:ascii="Times New Roman" w:eastAsia="Times New Roman" w:hAnsi="Times New Roman" w:cs="Times New Roman"/>
          <w:sz w:val="24"/>
          <w:szCs w:val="24"/>
          <w:lang w:eastAsia="nl-NL"/>
        </w:rPr>
      </w:pPr>
    </w:p>
    <w:p w:rsidR="00BB6E96" w:rsidRPr="00BB6E96" w:rsidRDefault="00BB6E96" w:rsidP="00BB6E96">
      <w:pPr>
        <w:spacing w:after="0" w:line="240" w:lineRule="auto"/>
        <w:rPr>
          <w:rFonts w:ascii="Times New Roman" w:eastAsia="Times New Roman" w:hAnsi="Times New Roman" w:cs="Times New Roman"/>
          <w:sz w:val="24"/>
          <w:szCs w:val="24"/>
          <w:lang w:eastAsia="nl-NL"/>
        </w:rPr>
      </w:pPr>
      <w:r w:rsidRPr="00BB6E96">
        <w:rPr>
          <w:rFonts w:ascii="Times New Roman" w:eastAsia="Times New Roman" w:hAnsi="Times New Roman" w:cs="Times New Roman"/>
          <w:sz w:val="24"/>
          <w:szCs w:val="24"/>
          <w:lang w:eastAsia="nl-NL"/>
        </w:rPr>
        <w:t>Language of Notice</w:t>
      </w:r>
    </w:p>
    <w:p w:rsidR="00BB6E96" w:rsidRPr="00BB6E96" w:rsidRDefault="00BB6E96" w:rsidP="00BB6E96">
      <w:pPr>
        <w:spacing w:after="0" w:line="240" w:lineRule="auto"/>
        <w:rPr>
          <w:rFonts w:ascii="Times New Roman" w:eastAsia="Times New Roman" w:hAnsi="Times New Roman" w:cs="Times New Roman"/>
          <w:sz w:val="24"/>
          <w:szCs w:val="24"/>
          <w:lang w:eastAsia="nl-NL"/>
        </w:rPr>
      </w:pPr>
      <w:r w:rsidRPr="00BB6E96">
        <w:rPr>
          <w:rFonts w:ascii="Times New Roman" w:eastAsia="Times New Roman" w:hAnsi="Times New Roman" w:cs="Times New Roman"/>
          <w:sz w:val="24"/>
          <w:szCs w:val="24"/>
          <w:lang w:eastAsia="nl-NL"/>
        </w:rPr>
        <w:t> English</w:t>
      </w:r>
    </w:p>
    <w:p w:rsidR="00F16CDC" w:rsidRDefault="00F16CDC" w:rsidP="00BB6E96">
      <w:pPr>
        <w:spacing w:after="0" w:line="240" w:lineRule="auto"/>
        <w:rPr>
          <w:rFonts w:ascii="Times New Roman" w:eastAsia="Times New Roman" w:hAnsi="Times New Roman" w:cs="Times New Roman"/>
          <w:sz w:val="24"/>
          <w:szCs w:val="24"/>
          <w:lang w:eastAsia="nl-NL"/>
        </w:rPr>
      </w:pPr>
    </w:p>
    <w:p w:rsidR="00BB6E96" w:rsidRPr="00BB6E96" w:rsidRDefault="00BB6E96" w:rsidP="00BB6E96">
      <w:pPr>
        <w:spacing w:after="0" w:line="240" w:lineRule="auto"/>
        <w:rPr>
          <w:rFonts w:ascii="Times New Roman" w:eastAsia="Times New Roman" w:hAnsi="Times New Roman" w:cs="Times New Roman"/>
          <w:sz w:val="24"/>
          <w:szCs w:val="24"/>
          <w:lang w:eastAsia="nl-NL"/>
        </w:rPr>
      </w:pPr>
      <w:r w:rsidRPr="00BB6E96">
        <w:rPr>
          <w:rFonts w:ascii="Times New Roman" w:eastAsia="Times New Roman" w:hAnsi="Times New Roman" w:cs="Times New Roman"/>
          <w:sz w:val="24"/>
          <w:szCs w:val="24"/>
          <w:lang w:eastAsia="nl-NL"/>
        </w:rPr>
        <w:t xml:space="preserve">Selection Notice </w:t>
      </w:r>
    </w:p>
    <w:p w:rsidR="00BB6E96" w:rsidRPr="00BB6E96" w:rsidRDefault="00BB6E96" w:rsidP="00BB6E96">
      <w:pPr>
        <w:spacing w:after="0" w:line="240" w:lineRule="auto"/>
        <w:rPr>
          <w:rFonts w:ascii="Times New Roman" w:eastAsia="Times New Roman" w:hAnsi="Times New Roman" w:cs="Times New Roman"/>
          <w:sz w:val="24"/>
          <w:szCs w:val="24"/>
          <w:lang w:val="nl-NL" w:eastAsia="nl-NL"/>
        </w:rPr>
      </w:pPr>
      <w:r w:rsidRPr="00BB6E96">
        <w:rPr>
          <w:rFonts w:ascii="Times New Roman" w:eastAsia="Times New Roman" w:hAnsi="Times New Roman" w:cs="Times New Roman"/>
          <w:sz w:val="24"/>
          <w:szCs w:val="24"/>
          <w:lang w:val="nl-NL" w:eastAsia="nl-NL"/>
        </w:rPr>
        <w:t>Assignment Country</w:t>
      </w:r>
    </w:p>
    <w:p w:rsidR="00BB6E96" w:rsidRPr="00BB6E96" w:rsidRDefault="00BB6E96" w:rsidP="00BB6E96">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BB6E96">
        <w:rPr>
          <w:rFonts w:ascii="Times New Roman" w:eastAsia="Times New Roman" w:hAnsi="Times New Roman" w:cs="Times New Roman"/>
          <w:sz w:val="24"/>
          <w:szCs w:val="24"/>
          <w:lang w:val="nl-NL" w:eastAsia="nl-NL"/>
        </w:rPr>
        <w:t>VN - Vietnam</w:t>
      </w:r>
    </w:p>
    <w:p w:rsidR="00BB6E96" w:rsidRPr="00BB6E96" w:rsidRDefault="00BB6E96" w:rsidP="00BB6E96">
      <w:pPr>
        <w:spacing w:after="0" w:line="240" w:lineRule="auto"/>
        <w:rPr>
          <w:rFonts w:ascii="Times New Roman" w:eastAsia="Times New Roman" w:hAnsi="Times New Roman" w:cs="Times New Roman"/>
          <w:sz w:val="24"/>
          <w:szCs w:val="24"/>
          <w:lang w:val="nl-NL" w:eastAsia="nl-NL"/>
        </w:rPr>
      </w:pPr>
      <w:r w:rsidRPr="00BB6E96">
        <w:rPr>
          <w:rFonts w:ascii="Times New Roman" w:eastAsia="Times New Roman" w:hAnsi="Times New Roman" w:cs="Times New Roman"/>
          <w:sz w:val="24"/>
          <w:szCs w:val="24"/>
          <w:lang w:val="nl-NL" w:eastAsia="nl-NL"/>
        </w:rPr>
        <w:t>Funding Sources</w:t>
      </w:r>
    </w:p>
    <w:p w:rsidR="00BB6E96" w:rsidRPr="00BB6E96" w:rsidRDefault="00BB6E96" w:rsidP="00BB6E96">
      <w:pPr>
        <w:spacing w:after="0" w:line="240" w:lineRule="auto"/>
        <w:rPr>
          <w:rFonts w:ascii="Times New Roman" w:eastAsia="Times New Roman" w:hAnsi="Times New Roman" w:cs="Times New Roman"/>
          <w:sz w:val="24"/>
          <w:szCs w:val="24"/>
          <w:lang w:eastAsia="nl-NL"/>
        </w:rPr>
      </w:pPr>
      <w:r w:rsidRPr="00BB6E96">
        <w:rPr>
          <w:rFonts w:ascii="Times New Roman" w:eastAsia="Times New Roman" w:hAnsi="Times New Roman" w:cs="Times New Roman"/>
          <w:sz w:val="24"/>
          <w:szCs w:val="24"/>
          <w:lang w:eastAsia="nl-NL"/>
        </w:rPr>
        <w:t xml:space="preserve">The World Bank Group intends to finance the assignment/services under: </w:t>
      </w:r>
    </w:p>
    <w:p w:rsidR="00BB6E96" w:rsidRPr="00BB6E96" w:rsidRDefault="00BB6E96" w:rsidP="00BB6E96">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BB6E96">
        <w:rPr>
          <w:rFonts w:ascii="Times New Roman" w:eastAsia="Times New Roman" w:hAnsi="Times New Roman" w:cs="Times New Roman"/>
          <w:sz w:val="24"/>
          <w:szCs w:val="24"/>
          <w:lang w:val="nl-NL" w:eastAsia="nl-NL"/>
        </w:rPr>
        <w:t>BB - BANK BUDGET</w:t>
      </w:r>
    </w:p>
    <w:p w:rsidR="00BB6E96" w:rsidRPr="00BB6E96" w:rsidRDefault="00BB6E96" w:rsidP="00BB6E96">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BB6E96">
        <w:rPr>
          <w:rFonts w:ascii="Times New Roman" w:eastAsia="Times New Roman" w:hAnsi="Times New Roman" w:cs="Times New Roman"/>
          <w:sz w:val="24"/>
          <w:szCs w:val="24"/>
          <w:lang w:eastAsia="nl-NL"/>
        </w:rPr>
        <w:t>TF0B0203 - Developing Rooftop Solar PV in Vietnam</w:t>
      </w:r>
    </w:p>
    <w:p w:rsidR="00BB6E96" w:rsidRPr="00BB6E96" w:rsidRDefault="00BB6E96" w:rsidP="00BB6E96">
      <w:pPr>
        <w:spacing w:after="0" w:line="240" w:lineRule="auto"/>
        <w:rPr>
          <w:rFonts w:ascii="Times New Roman" w:eastAsia="Times New Roman" w:hAnsi="Times New Roman" w:cs="Times New Roman"/>
          <w:sz w:val="24"/>
          <w:szCs w:val="24"/>
          <w:lang w:eastAsia="nl-NL"/>
        </w:rPr>
      </w:pPr>
      <w:r w:rsidRPr="00BB6E96">
        <w:rPr>
          <w:rFonts w:ascii="Times New Roman" w:eastAsia="Times New Roman" w:hAnsi="Times New Roman" w:cs="Times New Roman"/>
          <w:sz w:val="24"/>
          <w:szCs w:val="24"/>
          <w:lang w:eastAsia="nl-NL"/>
        </w:rPr>
        <w:t>Individual/Firm</w:t>
      </w:r>
    </w:p>
    <w:p w:rsidR="00BB6E96" w:rsidRPr="00BB6E96" w:rsidRDefault="00BB6E96" w:rsidP="00BB6E96">
      <w:pPr>
        <w:spacing w:after="0" w:line="240" w:lineRule="auto"/>
        <w:rPr>
          <w:rFonts w:ascii="Times New Roman" w:eastAsia="Times New Roman" w:hAnsi="Times New Roman" w:cs="Times New Roman"/>
          <w:sz w:val="24"/>
          <w:szCs w:val="24"/>
          <w:lang w:eastAsia="nl-NL"/>
        </w:rPr>
      </w:pPr>
      <w:r w:rsidRPr="00BB6E96">
        <w:rPr>
          <w:rFonts w:ascii="Times New Roman" w:eastAsia="Times New Roman" w:hAnsi="Times New Roman" w:cs="Times New Roman"/>
          <w:sz w:val="24"/>
          <w:szCs w:val="24"/>
          <w:lang w:eastAsia="nl-NL"/>
        </w:rPr>
        <w:t xml:space="preserve">The consultant will be a firm. </w:t>
      </w:r>
    </w:p>
    <w:p w:rsidR="00F16CDC" w:rsidRDefault="00F16CDC" w:rsidP="00BB6E96">
      <w:pPr>
        <w:spacing w:after="0" w:line="240" w:lineRule="auto"/>
        <w:rPr>
          <w:rFonts w:ascii="Times New Roman" w:eastAsia="Times New Roman" w:hAnsi="Times New Roman" w:cs="Times New Roman"/>
          <w:sz w:val="24"/>
          <w:szCs w:val="24"/>
          <w:lang w:val="nl-NL" w:eastAsia="nl-NL"/>
        </w:rPr>
      </w:pPr>
    </w:p>
    <w:p w:rsidR="00BB6E96" w:rsidRPr="00BB6E96" w:rsidRDefault="00BB6E96" w:rsidP="00BB6E96">
      <w:pPr>
        <w:spacing w:after="0" w:line="240" w:lineRule="auto"/>
        <w:rPr>
          <w:rFonts w:ascii="Times New Roman" w:eastAsia="Times New Roman" w:hAnsi="Times New Roman" w:cs="Times New Roman"/>
          <w:sz w:val="24"/>
          <w:szCs w:val="24"/>
          <w:lang w:val="nl-NL" w:eastAsia="nl-NL"/>
        </w:rPr>
      </w:pPr>
      <w:r w:rsidRPr="00BB6E96">
        <w:rPr>
          <w:rFonts w:ascii="Times New Roman" w:eastAsia="Times New Roman" w:hAnsi="Times New Roman" w:cs="Times New Roman"/>
          <w:sz w:val="24"/>
          <w:szCs w:val="24"/>
          <w:lang w:val="nl-NL" w:eastAsia="nl-NL"/>
        </w:rPr>
        <w:t xml:space="preserve">Assignment Description </w:t>
      </w:r>
    </w:p>
    <w:p w:rsidR="00BB6E96" w:rsidRPr="00BB6E96" w:rsidRDefault="00BB6E96" w:rsidP="00BB6E96">
      <w:pPr>
        <w:spacing w:after="0" w:line="240" w:lineRule="auto"/>
        <w:rPr>
          <w:rFonts w:ascii="Times New Roman" w:eastAsia="Times New Roman" w:hAnsi="Times New Roman" w:cs="Times New Roman"/>
          <w:sz w:val="24"/>
          <w:szCs w:val="24"/>
          <w:lang w:eastAsia="nl-NL"/>
        </w:rPr>
      </w:pPr>
      <w:r w:rsidRPr="00BB6E96">
        <w:rPr>
          <w:rFonts w:ascii="Times New Roman" w:eastAsia="Times New Roman" w:hAnsi="Times New Roman" w:cs="Times New Roman"/>
          <w:sz w:val="24"/>
          <w:szCs w:val="24"/>
          <w:lang w:eastAsia="nl-NL"/>
        </w:rPr>
        <w:t>SELECTION FOR CONSULTANTS BY THE WORLD BANK GROUP</w:t>
      </w:r>
      <w:r w:rsidRPr="00BB6E96">
        <w:rPr>
          <w:rFonts w:ascii="Times New Roman" w:eastAsia="Times New Roman" w:hAnsi="Times New Roman" w:cs="Times New Roman"/>
          <w:sz w:val="24"/>
          <w:szCs w:val="24"/>
          <w:lang w:eastAsia="nl-NL"/>
        </w:rPr>
        <w:br/>
      </w:r>
      <w:r w:rsidRPr="00BB6E96">
        <w:rPr>
          <w:rFonts w:ascii="Times New Roman" w:eastAsia="Times New Roman" w:hAnsi="Times New Roman" w:cs="Times New Roman"/>
          <w:sz w:val="24"/>
          <w:szCs w:val="24"/>
          <w:lang w:eastAsia="nl-NL"/>
        </w:rPr>
        <w:br/>
        <w:t>REQUEST FOR EXPRESSIONS OF INTEREST</w:t>
      </w:r>
      <w:r w:rsidRPr="00BB6E96">
        <w:rPr>
          <w:rFonts w:ascii="Times New Roman" w:eastAsia="Times New Roman" w:hAnsi="Times New Roman" w:cs="Times New Roman"/>
          <w:sz w:val="24"/>
          <w:szCs w:val="24"/>
          <w:lang w:eastAsia="nl-NL"/>
        </w:rPr>
        <w:br/>
      </w:r>
      <w:r w:rsidRPr="00BB6E96">
        <w:rPr>
          <w:rFonts w:ascii="Times New Roman" w:eastAsia="Times New Roman" w:hAnsi="Times New Roman" w:cs="Times New Roman"/>
          <w:sz w:val="24"/>
          <w:szCs w:val="24"/>
          <w:lang w:eastAsia="nl-NL"/>
        </w:rPr>
        <w:br/>
        <w:t>Electronic Submissions through World Bank Group eConsultant2</w:t>
      </w:r>
      <w:r w:rsidRPr="00BB6E96">
        <w:rPr>
          <w:rFonts w:ascii="Times New Roman" w:eastAsia="Times New Roman" w:hAnsi="Times New Roman" w:cs="Times New Roman"/>
          <w:sz w:val="24"/>
          <w:szCs w:val="24"/>
          <w:lang w:eastAsia="nl-NL"/>
        </w:rPr>
        <w:br/>
        <w:t>https://wbgeconsult2.worldbank.org/wbgec/index.html</w:t>
      </w:r>
      <w:r w:rsidRPr="00BB6E96">
        <w:rPr>
          <w:rFonts w:ascii="Times New Roman" w:eastAsia="Times New Roman" w:hAnsi="Times New Roman" w:cs="Times New Roman"/>
          <w:sz w:val="24"/>
          <w:szCs w:val="24"/>
          <w:lang w:eastAsia="nl-NL"/>
        </w:rPr>
        <w:br/>
      </w:r>
      <w:r w:rsidRPr="00BB6E96">
        <w:rPr>
          <w:rFonts w:ascii="Times New Roman" w:eastAsia="Times New Roman" w:hAnsi="Times New Roman" w:cs="Times New Roman"/>
          <w:sz w:val="24"/>
          <w:szCs w:val="24"/>
          <w:lang w:eastAsia="nl-NL"/>
        </w:rPr>
        <w:br/>
        <w:t>ASSIGNMENT OVERVIEW</w:t>
      </w:r>
      <w:r w:rsidRPr="00BB6E96">
        <w:rPr>
          <w:rFonts w:ascii="Times New Roman" w:eastAsia="Times New Roman" w:hAnsi="Times New Roman" w:cs="Times New Roman"/>
          <w:sz w:val="24"/>
          <w:szCs w:val="24"/>
          <w:lang w:eastAsia="nl-NL"/>
        </w:rPr>
        <w:br/>
      </w:r>
      <w:r w:rsidRPr="00BB6E96">
        <w:rPr>
          <w:rFonts w:ascii="Times New Roman" w:eastAsia="Times New Roman" w:hAnsi="Times New Roman" w:cs="Times New Roman"/>
          <w:sz w:val="24"/>
          <w:szCs w:val="24"/>
          <w:lang w:eastAsia="nl-NL"/>
        </w:rPr>
        <w:br/>
        <w:t>Assignment Title: 1265488 - Vietnam: Solar Competitive Bidding - Technical Support Substation and Solar Park Selection</w:t>
      </w:r>
      <w:r w:rsidRPr="00BB6E96">
        <w:rPr>
          <w:rFonts w:ascii="Times New Roman" w:eastAsia="Times New Roman" w:hAnsi="Times New Roman" w:cs="Times New Roman"/>
          <w:sz w:val="24"/>
          <w:szCs w:val="24"/>
          <w:lang w:eastAsia="nl-NL"/>
        </w:rPr>
        <w:br/>
      </w:r>
      <w:r w:rsidRPr="00BB6E96">
        <w:rPr>
          <w:rFonts w:ascii="Times New Roman" w:eastAsia="Times New Roman" w:hAnsi="Times New Roman" w:cs="Times New Roman"/>
          <w:sz w:val="24"/>
          <w:szCs w:val="24"/>
          <w:lang w:eastAsia="nl-NL"/>
        </w:rPr>
        <w:br/>
      </w:r>
      <w:r w:rsidRPr="00BB6E96">
        <w:rPr>
          <w:rFonts w:ascii="Times New Roman" w:eastAsia="Times New Roman" w:hAnsi="Times New Roman" w:cs="Times New Roman"/>
          <w:sz w:val="24"/>
          <w:szCs w:val="24"/>
          <w:lang w:eastAsia="nl-NL"/>
        </w:rPr>
        <w:br/>
        <w:t>ASSIGNMENT DESCRIPTION</w:t>
      </w:r>
      <w:r w:rsidRPr="00BB6E96">
        <w:rPr>
          <w:rFonts w:ascii="Times New Roman" w:eastAsia="Times New Roman" w:hAnsi="Times New Roman" w:cs="Times New Roman"/>
          <w:sz w:val="24"/>
          <w:szCs w:val="24"/>
          <w:lang w:eastAsia="nl-NL"/>
        </w:rPr>
        <w:br/>
        <w:t>1. Background</w:t>
      </w:r>
      <w:r w:rsidRPr="00BB6E96">
        <w:rPr>
          <w:rFonts w:ascii="Times New Roman" w:eastAsia="Times New Roman" w:hAnsi="Times New Roman" w:cs="Times New Roman"/>
          <w:sz w:val="24"/>
          <w:szCs w:val="24"/>
          <w:lang w:eastAsia="nl-NL"/>
        </w:rPr>
        <w:br/>
        <w:t xml:space="preserve">To ensure solar deployment does not impede its economic development by imposing additional costs to the electricity production, the Government of Vietnam decided to move from a FIT </w:t>
      </w:r>
      <w:r w:rsidRPr="00BB6E96">
        <w:rPr>
          <w:rFonts w:ascii="Times New Roman" w:eastAsia="Times New Roman" w:hAnsi="Times New Roman" w:cs="Times New Roman"/>
          <w:sz w:val="24"/>
          <w:szCs w:val="24"/>
          <w:lang w:eastAsia="nl-NL"/>
        </w:rPr>
        <w:lastRenderedPageBreak/>
        <w:t>regime to a competitive bidding one. With the support of the World Bank, the Government of Vietnam has developed a Solar Competitive Bidding Strategy that outlines the main recommendation with regards to deployment schemes and bidding framework as well as the main action points, the Government needs to put in place before it can launch a competitive bid. The main recommendation with regards to deployment selection is that the Government of Vietnam needs to stay in control of where the power will be injected into the grid and such in coordination with its transmission upgrade plan which led to the selection of (i) substation-based competitive bidding, where the Government announces the substations at which the IPPs can connect with an assessed maximum project size; and (ii) solar parks, where the Government not only decides where the connection point is but also provides the land to the IPP. The main action points that the Government needs to implement before launching officially a competitive bidding are (i) key changes to the current regulation through a Ministerial Decree to enable competitive bidding and enacted the changes needed to the Investment Law, and (ii) select the substations under which substation-based bidding and solar parks will be.</w:t>
      </w:r>
      <w:r w:rsidRPr="00BB6E96">
        <w:rPr>
          <w:rFonts w:ascii="Times New Roman" w:eastAsia="Times New Roman" w:hAnsi="Times New Roman" w:cs="Times New Roman"/>
          <w:sz w:val="24"/>
          <w:szCs w:val="24"/>
          <w:lang w:eastAsia="nl-NL"/>
        </w:rPr>
        <w:br/>
        <w:t>To support the Government of Vietnam in selecting the substation for substation-based bidding and solar parks, the World Bank is looking for a consultancy firm with a few key experts (the Consultant) to work with the Ministry of Industry and Trade (MOIT), EVN and NPT.</w:t>
      </w:r>
      <w:r w:rsidRPr="00BB6E96">
        <w:rPr>
          <w:rFonts w:ascii="Times New Roman" w:eastAsia="Times New Roman" w:hAnsi="Times New Roman" w:cs="Times New Roman"/>
          <w:sz w:val="24"/>
          <w:szCs w:val="24"/>
          <w:lang w:eastAsia="nl-NL"/>
        </w:rPr>
        <w:br/>
      </w:r>
      <w:r w:rsidRPr="00BB6E96">
        <w:rPr>
          <w:rFonts w:ascii="Times New Roman" w:eastAsia="Times New Roman" w:hAnsi="Times New Roman" w:cs="Times New Roman"/>
          <w:sz w:val="24"/>
          <w:szCs w:val="24"/>
          <w:lang w:eastAsia="nl-NL"/>
        </w:rPr>
        <w:br/>
        <w:t>2. Scope of Work</w:t>
      </w:r>
      <w:r w:rsidRPr="00BB6E96">
        <w:rPr>
          <w:rFonts w:ascii="Times New Roman" w:eastAsia="Times New Roman" w:hAnsi="Times New Roman" w:cs="Times New Roman"/>
          <w:sz w:val="24"/>
          <w:szCs w:val="24"/>
          <w:lang w:eastAsia="nl-NL"/>
        </w:rPr>
        <w:br/>
        <w:t>2.1 Objective</w:t>
      </w:r>
      <w:r w:rsidRPr="00BB6E96">
        <w:rPr>
          <w:rFonts w:ascii="Times New Roman" w:eastAsia="Times New Roman" w:hAnsi="Times New Roman" w:cs="Times New Roman"/>
          <w:sz w:val="24"/>
          <w:szCs w:val="24"/>
          <w:lang w:eastAsia="nl-NL"/>
        </w:rPr>
        <w:br/>
        <w:t>The assignment objective is to provide technical support to the Government of Vietnam to select the substation where there will be the minimal impact if solar PV where to be connected as well as provide a list of investments/upgrade needed to integrate such VRE projects.</w:t>
      </w:r>
      <w:r w:rsidRPr="00BB6E96">
        <w:rPr>
          <w:rFonts w:ascii="Times New Roman" w:eastAsia="Times New Roman" w:hAnsi="Times New Roman" w:cs="Times New Roman"/>
          <w:sz w:val="24"/>
          <w:szCs w:val="24"/>
          <w:lang w:eastAsia="nl-NL"/>
        </w:rPr>
        <w:br/>
        <w:t>2.2 Outputs</w:t>
      </w:r>
      <w:r w:rsidRPr="00BB6E96">
        <w:rPr>
          <w:rFonts w:ascii="Times New Roman" w:eastAsia="Times New Roman" w:hAnsi="Times New Roman" w:cs="Times New Roman"/>
          <w:sz w:val="24"/>
          <w:szCs w:val="24"/>
          <w:lang w:eastAsia="nl-NL"/>
        </w:rPr>
        <w:br/>
        <w:t>The Consultant shall be responsible for delivering the following tasks. All outputs (reports, ppts) will be provided in English and Vietnamese. The Consultant will need to be highly flexible in meeting the government as the data will not be given to him after contract signature.</w:t>
      </w:r>
      <w:r w:rsidRPr="00BB6E96">
        <w:rPr>
          <w:rFonts w:ascii="Times New Roman" w:eastAsia="Times New Roman" w:hAnsi="Times New Roman" w:cs="Times New Roman"/>
          <w:sz w:val="24"/>
          <w:szCs w:val="24"/>
          <w:lang w:eastAsia="nl-NL"/>
        </w:rPr>
        <w:br/>
      </w:r>
      <w:r w:rsidRPr="00BB6E96">
        <w:rPr>
          <w:rFonts w:ascii="Times New Roman" w:eastAsia="Times New Roman" w:hAnsi="Times New Roman" w:cs="Times New Roman"/>
          <w:sz w:val="24"/>
          <w:szCs w:val="24"/>
          <w:lang w:eastAsia="nl-NL"/>
        </w:rPr>
        <w:br/>
        <w:t>Inception Report</w:t>
      </w:r>
      <w:r w:rsidRPr="00BB6E96">
        <w:rPr>
          <w:rFonts w:ascii="Times New Roman" w:eastAsia="Times New Roman" w:hAnsi="Times New Roman" w:cs="Times New Roman"/>
          <w:sz w:val="24"/>
          <w:szCs w:val="24"/>
          <w:lang w:eastAsia="nl-NL"/>
        </w:rPr>
        <w:br/>
      </w:r>
      <w:r w:rsidRPr="00BB6E96">
        <w:rPr>
          <w:rFonts w:ascii="Times New Roman" w:eastAsia="Times New Roman" w:hAnsi="Times New Roman" w:cs="Times New Roman"/>
          <w:sz w:val="24"/>
          <w:szCs w:val="24"/>
          <w:lang w:eastAsia="nl-NL"/>
        </w:rPr>
        <w:br/>
        <w:t>Starting from the work done by PWC for the World Bank and the Institute of Energy with regards to a quick VRE integration study, the Consultant shall:</w:t>
      </w:r>
      <w:r w:rsidRPr="00BB6E96">
        <w:rPr>
          <w:rFonts w:ascii="Times New Roman" w:eastAsia="Times New Roman" w:hAnsi="Times New Roman" w:cs="Times New Roman"/>
          <w:sz w:val="24"/>
          <w:szCs w:val="24"/>
          <w:lang w:eastAsia="nl-NL"/>
        </w:rPr>
        <w:br/>
        <w:t>a. Meet with all actors and understand what are the key actions that are needed including a kick off meeting with the World Bank team;</w:t>
      </w:r>
      <w:r w:rsidRPr="00BB6E96">
        <w:rPr>
          <w:rFonts w:ascii="Times New Roman" w:eastAsia="Times New Roman" w:hAnsi="Times New Roman" w:cs="Times New Roman"/>
          <w:sz w:val="24"/>
          <w:szCs w:val="24"/>
          <w:lang w:eastAsia="nl-NL"/>
        </w:rPr>
        <w:br/>
        <w:t>b. Develop a short inception report presenting its methodology, timeline and data needed; and</w:t>
      </w:r>
      <w:r w:rsidRPr="00BB6E96">
        <w:rPr>
          <w:rFonts w:ascii="Times New Roman" w:eastAsia="Times New Roman" w:hAnsi="Times New Roman" w:cs="Times New Roman"/>
          <w:sz w:val="24"/>
          <w:szCs w:val="24"/>
          <w:lang w:eastAsia="nl-NL"/>
        </w:rPr>
        <w:br/>
        <w:t>c. Organize a half-day meeting with all parties to present the key steps.</w:t>
      </w:r>
      <w:r w:rsidRPr="00BB6E96">
        <w:rPr>
          <w:rFonts w:ascii="Times New Roman" w:eastAsia="Times New Roman" w:hAnsi="Times New Roman" w:cs="Times New Roman"/>
          <w:sz w:val="24"/>
          <w:szCs w:val="24"/>
          <w:lang w:eastAsia="nl-NL"/>
        </w:rPr>
        <w:br/>
        <w:t>Outputs: (i) inception report; and (ii) workshop.</w:t>
      </w:r>
      <w:r w:rsidRPr="00BB6E96">
        <w:rPr>
          <w:rFonts w:ascii="Times New Roman" w:eastAsia="Times New Roman" w:hAnsi="Times New Roman" w:cs="Times New Roman"/>
          <w:sz w:val="24"/>
          <w:szCs w:val="24"/>
          <w:lang w:eastAsia="nl-NL"/>
        </w:rPr>
        <w:br/>
      </w:r>
      <w:r w:rsidRPr="00BB6E96">
        <w:rPr>
          <w:rFonts w:ascii="Times New Roman" w:eastAsia="Times New Roman" w:hAnsi="Times New Roman" w:cs="Times New Roman"/>
          <w:sz w:val="24"/>
          <w:szCs w:val="24"/>
          <w:lang w:eastAsia="nl-NL"/>
        </w:rPr>
        <w:br/>
        <w:t>Task 1: VRE Integration Analysis</w:t>
      </w:r>
      <w:r w:rsidRPr="00BB6E96">
        <w:rPr>
          <w:rFonts w:ascii="Times New Roman" w:eastAsia="Times New Roman" w:hAnsi="Times New Roman" w:cs="Times New Roman"/>
          <w:sz w:val="24"/>
          <w:szCs w:val="24"/>
          <w:lang w:eastAsia="nl-NL"/>
        </w:rPr>
        <w:br/>
      </w:r>
      <w:r w:rsidRPr="00BB6E96">
        <w:rPr>
          <w:rFonts w:ascii="Times New Roman" w:eastAsia="Times New Roman" w:hAnsi="Times New Roman" w:cs="Times New Roman"/>
          <w:sz w:val="24"/>
          <w:szCs w:val="24"/>
          <w:lang w:eastAsia="nl-NL"/>
        </w:rPr>
        <w:br/>
        <w:t xml:space="preserve">The Consultant shall: </w:t>
      </w:r>
      <w:r w:rsidRPr="00BB6E96">
        <w:rPr>
          <w:rFonts w:ascii="Times New Roman" w:eastAsia="Times New Roman" w:hAnsi="Times New Roman" w:cs="Times New Roman"/>
          <w:sz w:val="24"/>
          <w:szCs w:val="24"/>
          <w:lang w:eastAsia="nl-NL"/>
        </w:rPr>
        <w:br/>
        <w:t xml:space="preserve">a. Using detailed substation, load flow, and grid system data available with EVN and NPT, carry out a grid integration analysis for potential solar and wind capacity additions across the country, drawing on the wind and solar atlas results, and considering both near-term and longer-term options. Each relevant substation shall be subject to a desk-based review using relevant modeling software, and the analysis shall take account of existing capacity and planned capacity additions. </w:t>
      </w:r>
      <w:r w:rsidRPr="00BB6E96">
        <w:rPr>
          <w:rFonts w:ascii="Times New Roman" w:eastAsia="Times New Roman" w:hAnsi="Times New Roman" w:cs="Times New Roman"/>
          <w:sz w:val="24"/>
          <w:szCs w:val="24"/>
          <w:lang w:eastAsia="nl-NL"/>
        </w:rPr>
        <w:lastRenderedPageBreak/>
        <w:t>Potential locations shall be ranked according to:</w:t>
      </w:r>
      <w:r w:rsidRPr="00BB6E96">
        <w:rPr>
          <w:rFonts w:ascii="Times New Roman" w:eastAsia="Times New Roman" w:hAnsi="Times New Roman" w:cs="Times New Roman"/>
          <w:sz w:val="24"/>
          <w:szCs w:val="24"/>
          <w:lang w:eastAsia="nl-NL"/>
        </w:rPr>
        <w:br/>
        <w:t>Their existing capacity/propensity to integrate solar and wind capacity without major upgrades, with special attention paid to substations where solar and wind capacity additions may have positive benefits in terms of loss reduction or reduced loading of transmission lines and/or transformers, locations where the diurnal or seasonal generation profile of solar and wind would support grid integration, and locations where hybridization may be possible or preferred;</w:t>
      </w:r>
      <w:r w:rsidRPr="00BB6E96">
        <w:rPr>
          <w:rFonts w:ascii="Times New Roman" w:eastAsia="Times New Roman" w:hAnsi="Times New Roman" w:cs="Times New Roman"/>
          <w:sz w:val="24"/>
          <w:szCs w:val="24"/>
          <w:lang w:eastAsia="nl-NL"/>
        </w:rPr>
        <w:br/>
        <w:t>Those where solar and wind could be incorporated following substation and/or transmission line upgrades, or the addition of battery energy storage both with and without solar-wind hybridization;</w:t>
      </w:r>
      <w:r w:rsidRPr="00BB6E96">
        <w:rPr>
          <w:rFonts w:ascii="Times New Roman" w:eastAsia="Times New Roman" w:hAnsi="Times New Roman" w:cs="Times New Roman"/>
          <w:sz w:val="24"/>
          <w:szCs w:val="24"/>
          <w:lang w:eastAsia="nl-NL"/>
        </w:rPr>
        <w:br/>
        <w:t>Locations for solar and wind development that would require new transmission infrastructure investments, including high-voltage DC connections (to open up areas with high resource potential and land for future development);</w:t>
      </w:r>
      <w:r w:rsidRPr="00BB6E96">
        <w:rPr>
          <w:rFonts w:ascii="Times New Roman" w:eastAsia="Times New Roman" w:hAnsi="Times New Roman" w:cs="Times New Roman"/>
          <w:sz w:val="24"/>
          <w:szCs w:val="24"/>
          <w:lang w:eastAsia="nl-NL"/>
        </w:rPr>
        <w:br/>
        <w:t xml:space="preserve">b. Where grid infrastructure upgrades are required, the Consultants shall provide estimated costs for such upgrades, and the additional capacity that could be facilitated in each case. Grid upgrades should also identify reactive power compensation, voltage, frequency and inertia support and potential forecasting need. </w:t>
      </w:r>
      <w:r w:rsidRPr="00BB6E96">
        <w:rPr>
          <w:rFonts w:ascii="Times New Roman" w:eastAsia="Times New Roman" w:hAnsi="Times New Roman" w:cs="Times New Roman"/>
          <w:sz w:val="24"/>
          <w:szCs w:val="24"/>
          <w:lang w:eastAsia="nl-NL"/>
        </w:rPr>
        <w:br/>
        <w:t xml:space="preserve">Outputs: (i) Georeferenced database, suitable for online publication; and (ii) a summary report detailing the findings for each substation that can accept solar/wind capacity additions with and without upgrades </w:t>
      </w:r>
      <w:r w:rsidRPr="00BB6E96">
        <w:rPr>
          <w:rFonts w:ascii="Times New Roman" w:eastAsia="Times New Roman" w:hAnsi="Times New Roman" w:cs="Times New Roman"/>
          <w:sz w:val="24"/>
          <w:szCs w:val="24"/>
          <w:lang w:eastAsia="nl-NL"/>
        </w:rPr>
        <w:br/>
      </w:r>
      <w:r w:rsidRPr="00BB6E96">
        <w:rPr>
          <w:rFonts w:ascii="Times New Roman" w:eastAsia="Times New Roman" w:hAnsi="Times New Roman" w:cs="Times New Roman"/>
          <w:sz w:val="24"/>
          <w:szCs w:val="24"/>
          <w:lang w:eastAsia="nl-NL"/>
        </w:rPr>
        <w:br/>
        <w:t>Task 2: Substation Short-Listing</w:t>
      </w:r>
      <w:r w:rsidRPr="00BB6E96">
        <w:rPr>
          <w:rFonts w:ascii="Times New Roman" w:eastAsia="Times New Roman" w:hAnsi="Times New Roman" w:cs="Times New Roman"/>
          <w:sz w:val="24"/>
          <w:szCs w:val="24"/>
          <w:lang w:eastAsia="nl-NL"/>
        </w:rPr>
        <w:br/>
      </w:r>
      <w:r w:rsidRPr="00BB6E96">
        <w:rPr>
          <w:rFonts w:ascii="Times New Roman" w:eastAsia="Times New Roman" w:hAnsi="Times New Roman" w:cs="Times New Roman"/>
          <w:sz w:val="24"/>
          <w:szCs w:val="24"/>
          <w:lang w:eastAsia="nl-NL"/>
        </w:rPr>
        <w:br/>
        <w:t>The Consultant shall:</w:t>
      </w:r>
      <w:r w:rsidRPr="00BB6E96">
        <w:rPr>
          <w:rFonts w:ascii="Times New Roman" w:eastAsia="Times New Roman" w:hAnsi="Times New Roman" w:cs="Times New Roman"/>
          <w:sz w:val="24"/>
          <w:szCs w:val="24"/>
          <w:lang w:eastAsia="nl-NL"/>
        </w:rPr>
        <w:br/>
        <w:t xml:space="preserve">a. Combining the results from Tasks 1 and 2, carry out a comprehensive shortlisting and ranking exercise to provide the Government with a set of recommendations on development of solar capacity in both the near-term and longer-term. It shall take account of solar and wind development that is already built, existing and future sources of generation, and planned transmission upgrades, and shall be carried out to ensure economic efficiency, some degree of provincial distribution, system stability, and maximizing the benefits of co-location and siting with regard to diurnal and seasonal generation patterns. </w:t>
      </w:r>
      <w:r w:rsidRPr="00BB6E96">
        <w:rPr>
          <w:rFonts w:ascii="Times New Roman" w:eastAsia="Times New Roman" w:hAnsi="Times New Roman" w:cs="Times New Roman"/>
          <w:sz w:val="24"/>
          <w:szCs w:val="24"/>
          <w:lang w:eastAsia="nl-NL"/>
        </w:rPr>
        <w:br/>
        <w:t xml:space="preserve">b. Specify operational changes that, when combined with grid upgrades and transmission line additions, would help facilitate higher levels of solar and wind generation on the Vietnamese grid. </w:t>
      </w:r>
      <w:r w:rsidRPr="00BB6E96">
        <w:rPr>
          <w:rFonts w:ascii="Times New Roman" w:eastAsia="Times New Roman" w:hAnsi="Times New Roman" w:cs="Times New Roman"/>
          <w:sz w:val="24"/>
          <w:szCs w:val="24"/>
          <w:lang w:eastAsia="nl-NL"/>
        </w:rPr>
        <w:br/>
        <w:t xml:space="preserve">Output: (i) the results and recommendations from Task 2 shall be provided as a consolidated report covering Tasks 1 and 2, and including an Executive Summary and slide deck covering the main findings. The report shall include a description of the methodology, data used, and recommendations for other necessary studies to support increased RE generation and integration. </w:t>
      </w:r>
      <w:r w:rsidRPr="00BB6E96">
        <w:rPr>
          <w:rFonts w:ascii="Times New Roman" w:eastAsia="Times New Roman" w:hAnsi="Times New Roman" w:cs="Times New Roman"/>
          <w:sz w:val="24"/>
          <w:szCs w:val="24"/>
          <w:lang w:eastAsia="nl-NL"/>
        </w:rPr>
        <w:br/>
      </w:r>
      <w:r w:rsidRPr="00BB6E96">
        <w:rPr>
          <w:rFonts w:ascii="Times New Roman" w:eastAsia="Times New Roman" w:hAnsi="Times New Roman" w:cs="Times New Roman"/>
          <w:sz w:val="24"/>
          <w:szCs w:val="24"/>
          <w:lang w:eastAsia="nl-NL"/>
        </w:rPr>
        <w:br/>
        <w:t>Task 3: Solar Park</w:t>
      </w:r>
      <w:r w:rsidRPr="00BB6E96">
        <w:rPr>
          <w:rFonts w:ascii="Times New Roman" w:eastAsia="Times New Roman" w:hAnsi="Times New Roman" w:cs="Times New Roman"/>
          <w:sz w:val="24"/>
          <w:szCs w:val="24"/>
          <w:lang w:eastAsia="nl-NL"/>
        </w:rPr>
        <w:br/>
      </w:r>
      <w:r w:rsidRPr="00BB6E96">
        <w:rPr>
          <w:rFonts w:ascii="Times New Roman" w:eastAsia="Times New Roman" w:hAnsi="Times New Roman" w:cs="Times New Roman"/>
          <w:sz w:val="24"/>
          <w:szCs w:val="24"/>
          <w:lang w:eastAsia="nl-NL"/>
        </w:rPr>
        <w:br/>
        <w:t>The Consultant shall and such based on extensive discussions with the Provinces:</w:t>
      </w:r>
      <w:r w:rsidRPr="00BB6E96">
        <w:rPr>
          <w:rFonts w:ascii="Times New Roman" w:eastAsia="Times New Roman" w:hAnsi="Times New Roman" w:cs="Times New Roman"/>
          <w:sz w:val="24"/>
          <w:szCs w:val="24"/>
          <w:lang w:eastAsia="nl-NL"/>
        </w:rPr>
        <w:br/>
        <w:t xml:space="preserve">a. Identify a shortlist of at least 10 potential sites in the best provinces with regards to PV irradiation, namely Ninh Thuan, Binh Thuan, Binh Phuoc, Tay Ninh, Gia Lai, Binh Duong, Dak Lak, Lam Dong, Khanh Hoa, Kon Tum, Ba Ria-Vung Tao, Dong Nai, only for the construction of solar parks for a minimum of 2.5 GW of combined capacity with a minimum of 100 MW capacity per site. Sites can be composed of different land parcels with a minimum 50 MW size </w:t>
      </w:r>
      <w:r w:rsidRPr="00BB6E96">
        <w:rPr>
          <w:rFonts w:ascii="Times New Roman" w:eastAsia="Times New Roman" w:hAnsi="Times New Roman" w:cs="Times New Roman"/>
          <w:sz w:val="24"/>
          <w:szCs w:val="24"/>
          <w:lang w:eastAsia="nl-NL"/>
        </w:rPr>
        <w:lastRenderedPageBreak/>
        <w:t xml:space="preserve">that are close to each other (i.e. 500m-2km) and may include sites suitable for floating solar installations. The sites must be located in a radius of 20 km from the relevant substation. Sites shall be categorized according to: </w:t>
      </w:r>
      <w:r w:rsidRPr="00BB6E96">
        <w:rPr>
          <w:rFonts w:ascii="Times New Roman" w:eastAsia="Times New Roman" w:hAnsi="Times New Roman" w:cs="Times New Roman"/>
          <w:sz w:val="24"/>
          <w:szCs w:val="24"/>
          <w:lang w:eastAsia="nl-NL"/>
        </w:rPr>
        <w:br/>
        <w:t xml:space="preserve">Their size (in terms of land area and potential generation capacity in MW); </w:t>
      </w:r>
      <w:r w:rsidRPr="00BB6E96">
        <w:rPr>
          <w:rFonts w:ascii="Times New Roman" w:eastAsia="Times New Roman" w:hAnsi="Times New Roman" w:cs="Times New Roman"/>
          <w:sz w:val="24"/>
          <w:szCs w:val="24"/>
          <w:lang w:eastAsia="nl-NL"/>
        </w:rPr>
        <w:br/>
        <w:t xml:space="preserve">Their land use and the presence of settlements on site; </w:t>
      </w:r>
      <w:r w:rsidRPr="00BB6E96">
        <w:rPr>
          <w:rFonts w:ascii="Times New Roman" w:eastAsia="Times New Roman" w:hAnsi="Times New Roman" w:cs="Times New Roman"/>
          <w:sz w:val="24"/>
          <w:szCs w:val="24"/>
          <w:lang w:eastAsia="nl-NL"/>
        </w:rPr>
        <w:br/>
        <w:t xml:space="preserve">The public cost of development, including any grid upgrades required; </w:t>
      </w:r>
      <w:r w:rsidRPr="00BB6E96">
        <w:rPr>
          <w:rFonts w:ascii="Times New Roman" w:eastAsia="Times New Roman" w:hAnsi="Times New Roman" w:cs="Times New Roman"/>
          <w:sz w:val="24"/>
          <w:szCs w:val="24"/>
          <w:lang w:eastAsia="nl-NL"/>
        </w:rPr>
        <w:br/>
        <w:t>Estimated power generation and capacity factor, including the diurnal and seasonal profile, and possibilities for hybrid (combined solar and wind) generation at the same site; and</w:t>
      </w:r>
      <w:r w:rsidRPr="00BB6E96">
        <w:rPr>
          <w:rFonts w:ascii="Times New Roman" w:eastAsia="Times New Roman" w:hAnsi="Times New Roman" w:cs="Times New Roman"/>
          <w:sz w:val="24"/>
          <w:szCs w:val="24"/>
          <w:lang w:eastAsia="nl-NL"/>
        </w:rPr>
        <w:br/>
        <w:t xml:space="preserve">Attractiveness for private sector investment, taking account of ease of access, security considerations, dust loading, water availability, and other relevant factors </w:t>
      </w:r>
      <w:r w:rsidRPr="00BB6E96">
        <w:rPr>
          <w:rFonts w:ascii="Times New Roman" w:eastAsia="Times New Roman" w:hAnsi="Times New Roman" w:cs="Times New Roman"/>
          <w:sz w:val="24"/>
          <w:szCs w:val="24"/>
          <w:lang w:eastAsia="nl-NL"/>
        </w:rPr>
        <w:br/>
        <w:t>b. Organize discussions with the Provinces and a workshop with them.</w:t>
      </w:r>
      <w:r w:rsidRPr="00BB6E96">
        <w:rPr>
          <w:rFonts w:ascii="Times New Roman" w:eastAsia="Times New Roman" w:hAnsi="Times New Roman" w:cs="Times New Roman"/>
          <w:sz w:val="24"/>
          <w:szCs w:val="24"/>
          <w:lang w:eastAsia="nl-NL"/>
        </w:rPr>
        <w:br/>
        <w:t xml:space="preserve">c. Visit each of the shortlisted sites to identify any issues that may limit potential development, including environmental, social and geotechnical considerations. For each site, detailed maps and schematic diagrams shall be prepared with indicative layout options, accompanied by high resolution photographs of the site and surrounding area. </w:t>
      </w:r>
      <w:r w:rsidRPr="00BB6E96">
        <w:rPr>
          <w:rFonts w:ascii="Times New Roman" w:eastAsia="Times New Roman" w:hAnsi="Times New Roman" w:cs="Times New Roman"/>
          <w:sz w:val="24"/>
          <w:szCs w:val="24"/>
          <w:lang w:eastAsia="nl-NL"/>
        </w:rPr>
        <w:br/>
        <w:t xml:space="preserve">d. Conduct a dynamic grid integration simulation at the identified substation will be conducted (for each site and together). The Consultant shall evaluate which sites should be developed first and prioritize based on the grid integration capacity while providing a maximized timeline for each site and the development in phases of these sites. </w:t>
      </w:r>
      <w:r w:rsidRPr="00BB6E96">
        <w:rPr>
          <w:rFonts w:ascii="Times New Roman" w:eastAsia="Times New Roman" w:hAnsi="Times New Roman" w:cs="Times New Roman"/>
          <w:sz w:val="24"/>
          <w:szCs w:val="24"/>
          <w:lang w:eastAsia="nl-NL"/>
        </w:rPr>
        <w:br/>
      </w:r>
      <w:r w:rsidRPr="00BB6E96">
        <w:rPr>
          <w:rFonts w:ascii="Times New Roman" w:eastAsia="Times New Roman" w:hAnsi="Times New Roman" w:cs="Times New Roman"/>
          <w:sz w:val="24"/>
          <w:szCs w:val="24"/>
          <w:lang w:eastAsia="nl-NL"/>
        </w:rPr>
        <w:br/>
        <w:t xml:space="preserve">Output: (i) a detailed report covering each of the identified sites, and providing a multi-criteria ranking of these sites so that certain sites may be prioritized within the Provinces. </w:t>
      </w:r>
      <w:r w:rsidRPr="00BB6E96">
        <w:rPr>
          <w:rFonts w:ascii="Times New Roman" w:eastAsia="Times New Roman" w:hAnsi="Times New Roman" w:cs="Times New Roman"/>
          <w:sz w:val="24"/>
          <w:szCs w:val="24"/>
          <w:lang w:eastAsia="nl-NL"/>
        </w:rPr>
        <w:br/>
      </w:r>
      <w:r w:rsidRPr="00BB6E96">
        <w:rPr>
          <w:rFonts w:ascii="Times New Roman" w:eastAsia="Times New Roman" w:hAnsi="Times New Roman" w:cs="Times New Roman"/>
          <w:sz w:val="24"/>
          <w:szCs w:val="24"/>
          <w:lang w:eastAsia="nl-NL"/>
        </w:rPr>
        <w:br/>
        <w:t>3. Proposal Submission</w:t>
      </w:r>
      <w:r w:rsidRPr="00BB6E96">
        <w:rPr>
          <w:rFonts w:ascii="Times New Roman" w:eastAsia="Times New Roman" w:hAnsi="Times New Roman" w:cs="Times New Roman"/>
          <w:sz w:val="24"/>
          <w:szCs w:val="24"/>
          <w:lang w:eastAsia="nl-NL"/>
        </w:rPr>
        <w:br/>
        <w:t>Submissions shall be received via the World Banks eConsult platform. The proposals shall not be longer than 10 pages including annexes. Specific team members will not be considered for this step of the process. The expression of interest shall focus on (i) understanding of the scope of work, (ii) presentation of the consultancy firm and (iii) its experience related to the scope of work.</w:t>
      </w:r>
      <w:r w:rsidRPr="00BB6E96">
        <w:rPr>
          <w:rFonts w:ascii="Times New Roman" w:eastAsia="Times New Roman" w:hAnsi="Times New Roman" w:cs="Times New Roman"/>
          <w:sz w:val="24"/>
          <w:szCs w:val="24"/>
          <w:lang w:eastAsia="nl-NL"/>
        </w:rPr>
        <w:br/>
      </w:r>
      <w:r w:rsidRPr="00BB6E96">
        <w:rPr>
          <w:rFonts w:ascii="Times New Roman" w:eastAsia="Times New Roman" w:hAnsi="Times New Roman" w:cs="Times New Roman"/>
          <w:sz w:val="24"/>
          <w:szCs w:val="24"/>
          <w:lang w:eastAsia="nl-NL"/>
        </w:rPr>
        <w:br/>
        <w:t>4. Firm Profile</w:t>
      </w:r>
      <w:r w:rsidRPr="00BB6E96">
        <w:rPr>
          <w:rFonts w:ascii="Times New Roman" w:eastAsia="Times New Roman" w:hAnsi="Times New Roman" w:cs="Times New Roman"/>
          <w:sz w:val="24"/>
          <w:szCs w:val="24"/>
          <w:lang w:eastAsia="nl-NL"/>
        </w:rPr>
        <w:br/>
        <w:t>It is expected that vendors responding to this selection will be a technical firm based in Vietnam with extensive experience working with EVN, NPT and the Provinces</w:t>
      </w:r>
    </w:p>
    <w:p w:rsidR="00BB6E96" w:rsidRPr="00BB6E96" w:rsidRDefault="00BB6E96" w:rsidP="00BB6E96">
      <w:pPr>
        <w:spacing w:after="0" w:line="240" w:lineRule="auto"/>
        <w:rPr>
          <w:rFonts w:ascii="Times New Roman" w:eastAsia="Times New Roman" w:hAnsi="Times New Roman" w:cs="Times New Roman"/>
          <w:sz w:val="24"/>
          <w:szCs w:val="24"/>
          <w:lang w:val="nl-NL" w:eastAsia="nl-NL"/>
        </w:rPr>
      </w:pPr>
      <w:r w:rsidRPr="00BB6E96">
        <w:rPr>
          <w:rFonts w:ascii="Times New Roman" w:eastAsia="Times New Roman" w:hAnsi="Times New Roman" w:cs="Times New Roman"/>
          <w:sz w:val="24"/>
          <w:szCs w:val="24"/>
          <w:lang w:val="nl-NL" w:eastAsia="nl-NL"/>
        </w:rPr>
        <w:t>Attachments</w:t>
      </w:r>
    </w:p>
    <w:p w:rsidR="00BB6E96" w:rsidRPr="00BB6E96" w:rsidRDefault="00BB6E96" w:rsidP="00BB6E96">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r w:rsidRPr="00BB6E96">
          <w:rPr>
            <w:rFonts w:ascii="Times New Roman" w:eastAsia="Times New Roman" w:hAnsi="Times New Roman" w:cs="Times New Roman"/>
            <w:color w:val="0000FF"/>
            <w:sz w:val="24"/>
            <w:szCs w:val="24"/>
            <w:u w:val="single"/>
            <w:lang w:val="nl-NL" w:eastAsia="nl-NL"/>
          </w:rPr>
          <w:t>Optional TOR File</w:t>
        </w:r>
      </w:hyperlink>
    </w:p>
    <w:p w:rsidR="00BB6E96" w:rsidRPr="00BB6E96" w:rsidRDefault="00BB6E96" w:rsidP="00BB6E96">
      <w:pPr>
        <w:spacing w:after="0" w:line="240" w:lineRule="auto"/>
        <w:rPr>
          <w:rFonts w:ascii="Times New Roman" w:eastAsia="Times New Roman" w:hAnsi="Times New Roman" w:cs="Times New Roman"/>
          <w:sz w:val="24"/>
          <w:szCs w:val="24"/>
          <w:lang w:val="nl-NL" w:eastAsia="nl-NL"/>
        </w:rPr>
      </w:pPr>
      <w:r w:rsidRPr="00BB6E96">
        <w:rPr>
          <w:rFonts w:ascii="Times New Roman" w:eastAsia="Times New Roman" w:hAnsi="Times New Roman" w:cs="Times New Roman"/>
          <w:sz w:val="24"/>
          <w:szCs w:val="24"/>
          <w:lang w:val="nl-NL" w:eastAsia="nl-NL"/>
        </w:rPr>
        <w:t xml:space="preserve">Qualification Criteria </w:t>
      </w:r>
    </w:p>
    <w:p w:rsidR="00BB6E96" w:rsidRPr="00BB6E96" w:rsidRDefault="00BB6E96" w:rsidP="00BB6E96">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BB6E96">
        <w:rPr>
          <w:rFonts w:ascii="Times New Roman" w:eastAsia="Times New Roman" w:hAnsi="Times New Roman" w:cs="Times New Roman"/>
          <w:b/>
          <w:bCs/>
          <w:sz w:val="24"/>
          <w:szCs w:val="24"/>
          <w:lang w:eastAsia="nl-NL"/>
        </w:rPr>
        <w:t>1.</w:t>
      </w:r>
      <w:r w:rsidRPr="00BB6E96">
        <w:rPr>
          <w:rFonts w:ascii="Times New Roman" w:eastAsia="Times New Roman" w:hAnsi="Times New Roman" w:cs="Times New Roman"/>
          <w:sz w:val="24"/>
          <w:szCs w:val="24"/>
          <w:lang w:eastAsia="nl-NL"/>
        </w:rPr>
        <w:t xml:space="preserve"> Provide information showing that they are qualified in the field of the assignment (in particular experience in VRE integration, battery storage and GIS/land identification).</w:t>
      </w:r>
    </w:p>
    <w:p w:rsidR="00BB6E96" w:rsidRPr="00BB6E96" w:rsidRDefault="00BB6E96" w:rsidP="00BB6E96">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BB6E96">
        <w:rPr>
          <w:rFonts w:ascii="Times New Roman" w:eastAsia="Times New Roman" w:hAnsi="Times New Roman" w:cs="Times New Roman"/>
          <w:b/>
          <w:bCs/>
          <w:sz w:val="24"/>
          <w:szCs w:val="24"/>
          <w:lang w:eastAsia="nl-NL"/>
        </w:rPr>
        <w:t>2.</w:t>
      </w:r>
      <w:r w:rsidRPr="00BB6E96">
        <w:rPr>
          <w:rFonts w:ascii="Times New Roman" w:eastAsia="Times New Roman" w:hAnsi="Times New Roman" w:cs="Times New Roman"/>
          <w:sz w:val="24"/>
          <w:szCs w:val="24"/>
          <w:lang w:eastAsia="nl-NL"/>
        </w:rPr>
        <w:t xml:space="preserve"> Provide information on the technical and managerial capabilities of the firm.</w:t>
      </w:r>
    </w:p>
    <w:p w:rsidR="00BB6E96" w:rsidRPr="00BB6E96" w:rsidRDefault="00BB6E96" w:rsidP="00BB6E96">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BB6E96">
        <w:rPr>
          <w:rFonts w:ascii="Times New Roman" w:eastAsia="Times New Roman" w:hAnsi="Times New Roman" w:cs="Times New Roman"/>
          <w:b/>
          <w:bCs/>
          <w:sz w:val="24"/>
          <w:szCs w:val="24"/>
          <w:lang w:eastAsia="nl-NL"/>
        </w:rPr>
        <w:t>3.</w:t>
      </w:r>
      <w:r w:rsidRPr="00BB6E96">
        <w:rPr>
          <w:rFonts w:ascii="Times New Roman" w:eastAsia="Times New Roman" w:hAnsi="Times New Roman" w:cs="Times New Roman"/>
          <w:sz w:val="24"/>
          <w:szCs w:val="24"/>
          <w:lang w:eastAsia="nl-NL"/>
        </w:rPr>
        <w:t xml:space="preserve"> Provide information on their core business and years in business.</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6D6D1F"/>
    <w:multiLevelType w:val="multilevel"/>
    <w:tmpl w:val="06E27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A34BC7"/>
    <w:multiLevelType w:val="multilevel"/>
    <w:tmpl w:val="8842C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E226B2"/>
    <w:multiLevelType w:val="multilevel"/>
    <w:tmpl w:val="7BCCB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EF170C"/>
    <w:multiLevelType w:val="multilevel"/>
    <w:tmpl w:val="9DEE2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29"/>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6E96"/>
    <w:rsid w:val="00895661"/>
    <w:rsid w:val="00B902C5"/>
    <w:rsid w:val="00BB6E96"/>
    <w:rsid w:val="00F16C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62E14"/>
  <w15:chartTrackingRefBased/>
  <w15:docId w15:val="{1C931241-14EC-4BB2-8077-39A4A0E13E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B6E9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9021019">
      <w:bodyDiv w:val="1"/>
      <w:marLeft w:val="0"/>
      <w:marRight w:val="0"/>
      <w:marTop w:val="0"/>
      <w:marBottom w:val="0"/>
      <w:divBdr>
        <w:top w:val="none" w:sz="0" w:space="0" w:color="auto"/>
        <w:left w:val="none" w:sz="0" w:space="0" w:color="auto"/>
        <w:bottom w:val="none" w:sz="0" w:space="0" w:color="auto"/>
        <w:right w:val="none" w:sz="0" w:space="0" w:color="auto"/>
      </w:divBdr>
      <w:divsChild>
        <w:div w:id="1271159747">
          <w:marLeft w:val="0"/>
          <w:marRight w:val="0"/>
          <w:marTop w:val="0"/>
          <w:marBottom w:val="0"/>
          <w:divBdr>
            <w:top w:val="none" w:sz="0" w:space="0" w:color="auto"/>
            <w:left w:val="none" w:sz="0" w:space="0" w:color="auto"/>
            <w:bottom w:val="none" w:sz="0" w:space="0" w:color="auto"/>
            <w:right w:val="none" w:sz="0" w:space="0" w:color="auto"/>
          </w:divBdr>
        </w:div>
        <w:div w:id="420417675">
          <w:marLeft w:val="0"/>
          <w:marRight w:val="0"/>
          <w:marTop w:val="0"/>
          <w:marBottom w:val="0"/>
          <w:divBdr>
            <w:top w:val="none" w:sz="0" w:space="0" w:color="auto"/>
            <w:left w:val="none" w:sz="0" w:space="0" w:color="auto"/>
            <w:bottom w:val="none" w:sz="0" w:space="0" w:color="auto"/>
            <w:right w:val="none" w:sz="0" w:space="0" w:color="auto"/>
          </w:divBdr>
          <w:divsChild>
            <w:div w:id="820119495">
              <w:marLeft w:val="0"/>
              <w:marRight w:val="0"/>
              <w:marTop w:val="0"/>
              <w:marBottom w:val="0"/>
              <w:divBdr>
                <w:top w:val="none" w:sz="0" w:space="0" w:color="auto"/>
                <w:left w:val="none" w:sz="0" w:space="0" w:color="auto"/>
                <w:bottom w:val="none" w:sz="0" w:space="0" w:color="auto"/>
                <w:right w:val="none" w:sz="0" w:space="0" w:color="auto"/>
              </w:divBdr>
              <w:divsChild>
                <w:div w:id="1768696032">
                  <w:marLeft w:val="0"/>
                  <w:marRight w:val="0"/>
                  <w:marTop w:val="0"/>
                  <w:marBottom w:val="0"/>
                  <w:divBdr>
                    <w:top w:val="none" w:sz="0" w:space="0" w:color="auto"/>
                    <w:left w:val="none" w:sz="0" w:space="0" w:color="auto"/>
                    <w:bottom w:val="none" w:sz="0" w:space="0" w:color="auto"/>
                    <w:right w:val="none" w:sz="0" w:space="0" w:color="auto"/>
                  </w:divBdr>
                </w:div>
              </w:divsChild>
            </w:div>
            <w:div w:id="1716927619">
              <w:marLeft w:val="0"/>
              <w:marRight w:val="0"/>
              <w:marTop w:val="0"/>
              <w:marBottom w:val="0"/>
              <w:divBdr>
                <w:top w:val="none" w:sz="0" w:space="0" w:color="auto"/>
                <w:left w:val="none" w:sz="0" w:space="0" w:color="auto"/>
                <w:bottom w:val="none" w:sz="0" w:space="0" w:color="auto"/>
                <w:right w:val="none" w:sz="0" w:space="0" w:color="auto"/>
              </w:divBdr>
              <w:divsChild>
                <w:div w:id="1512376858">
                  <w:marLeft w:val="0"/>
                  <w:marRight w:val="0"/>
                  <w:marTop w:val="0"/>
                  <w:marBottom w:val="0"/>
                  <w:divBdr>
                    <w:top w:val="none" w:sz="0" w:space="0" w:color="auto"/>
                    <w:left w:val="none" w:sz="0" w:space="0" w:color="auto"/>
                    <w:bottom w:val="none" w:sz="0" w:space="0" w:color="auto"/>
                    <w:right w:val="none" w:sz="0" w:space="0" w:color="auto"/>
                  </w:divBdr>
                </w:div>
                <w:div w:id="128713164">
                  <w:marLeft w:val="0"/>
                  <w:marRight w:val="0"/>
                  <w:marTop w:val="0"/>
                  <w:marBottom w:val="0"/>
                  <w:divBdr>
                    <w:top w:val="none" w:sz="0" w:space="0" w:color="auto"/>
                    <w:left w:val="none" w:sz="0" w:space="0" w:color="auto"/>
                    <w:bottom w:val="none" w:sz="0" w:space="0" w:color="auto"/>
                    <w:right w:val="none" w:sz="0" w:space="0" w:color="auto"/>
                  </w:divBdr>
                </w:div>
              </w:divsChild>
            </w:div>
            <w:div w:id="224490332">
              <w:marLeft w:val="0"/>
              <w:marRight w:val="0"/>
              <w:marTop w:val="0"/>
              <w:marBottom w:val="0"/>
              <w:divBdr>
                <w:top w:val="none" w:sz="0" w:space="0" w:color="auto"/>
                <w:left w:val="none" w:sz="0" w:space="0" w:color="auto"/>
                <w:bottom w:val="none" w:sz="0" w:space="0" w:color="auto"/>
                <w:right w:val="none" w:sz="0" w:space="0" w:color="auto"/>
              </w:divBdr>
              <w:divsChild>
                <w:div w:id="335770596">
                  <w:marLeft w:val="0"/>
                  <w:marRight w:val="0"/>
                  <w:marTop w:val="0"/>
                  <w:marBottom w:val="0"/>
                  <w:divBdr>
                    <w:top w:val="none" w:sz="0" w:space="0" w:color="auto"/>
                    <w:left w:val="none" w:sz="0" w:space="0" w:color="auto"/>
                    <w:bottom w:val="none" w:sz="0" w:space="0" w:color="auto"/>
                    <w:right w:val="none" w:sz="0" w:space="0" w:color="auto"/>
                  </w:divBdr>
                </w:div>
                <w:div w:id="761145587">
                  <w:marLeft w:val="0"/>
                  <w:marRight w:val="0"/>
                  <w:marTop w:val="0"/>
                  <w:marBottom w:val="0"/>
                  <w:divBdr>
                    <w:top w:val="none" w:sz="0" w:space="0" w:color="auto"/>
                    <w:left w:val="none" w:sz="0" w:space="0" w:color="auto"/>
                    <w:bottom w:val="none" w:sz="0" w:space="0" w:color="auto"/>
                    <w:right w:val="none" w:sz="0" w:space="0" w:color="auto"/>
                  </w:divBdr>
                </w:div>
              </w:divsChild>
            </w:div>
            <w:div w:id="479034569">
              <w:marLeft w:val="0"/>
              <w:marRight w:val="0"/>
              <w:marTop w:val="0"/>
              <w:marBottom w:val="0"/>
              <w:divBdr>
                <w:top w:val="none" w:sz="0" w:space="0" w:color="auto"/>
                <w:left w:val="none" w:sz="0" w:space="0" w:color="auto"/>
                <w:bottom w:val="none" w:sz="0" w:space="0" w:color="auto"/>
                <w:right w:val="none" w:sz="0" w:space="0" w:color="auto"/>
              </w:divBdr>
              <w:divsChild>
                <w:div w:id="1248613980">
                  <w:marLeft w:val="0"/>
                  <w:marRight w:val="0"/>
                  <w:marTop w:val="0"/>
                  <w:marBottom w:val="0"/>
                  <w:divBdr>
                    <w:top w:val="none" w:sz="0" w:space="0" w:color="auto"/>
                    <w:left w:val="none" w:sz="0" w:space="0" w:color="auto"/>
                    <w:bottom w:val="none" w:sz="0" w:space="0" w:color="auto"/>
                    <w:right w:val="none" w:sz="0" w:space="0" w:color="auto"/>
                  </w:divBdr>
                </w:div>
                <w:div w:id="600257050">
                  <w:marLeft w:val="0"/>
                  <w:marRight w:val="0"/>
                  <w:marTop w:val="0"/>
                  <w:marBottom w:val="0"/>
                  <w:divBdr>
                    <w:top w:val="none" w:sz="0" w:space="0" w:color="auto"/>
                    <w:left w:val="none" w:sz="0" w:space="0" w:color="auto"/>
                    <w:bottom w:val="none" w:sz="0" w:space="0" w:color="auto"/>
                    <w:right w:val="none" w:sz="0" w:space="0" w:color="auto"/>
                  </w:divBdr>
                </w:div>
              </w:divsChild>
            </w:div>
            <w:div w:id="1354922578">
              <w:marLeft w:val="0"/>
              <w:marRight w:val="0"/>
              <w:marTop w:val="0"/>
              <w:marBottom w:val="0"/>
              <w:divBdr>
                <w:top w:val="none" w:sz="0" w:space="0" w:color="auto"/>
                <w:left w:val="none" w:sz="0" w:space="0" w:color="auto"/>
                <w:bottom w:val="none" w:sz="0" w:space="0" w:color="auto"/>
                <w:right w:val="none" w:sz="0" w:space="0" w:color="auto"/>
              </w:divBdr>
              <w:divsChild>
                <w:div w:id="1412578043">
                  <w:marLeft w:val="0"/>
                  <w:marRight w:val="0"/>
                  <w:marTop w:val="0"/>
                  <w:marBottom w:val="0"/>
                  <w:divBdr>
                    <w:top w:val="none" w:sz="0" w:space="0" w:color="auto"/>
                    <w:left w:val="none" w:sz="0" w:space="0" w:color="auto"/>
                    <w:bottom w:val="none" w:sz="0" w:space="0" w:color="auto"/>
                    <w:right w:val="none" w:sz="0" w:space="0" w:color="auto"/>
                  </w:divBdr>
                </w:div>
                <w:div w:id="1052533322">
                  <w:marLeft w:val="0"/>
                  <w:marRight w:val="0"/>
                  <w:marTop w:val="0"/>
                  <w:marBottom w:val="0"/>
                  <w:divBdr>
                    <w:top w:val="none" w:sz="0" w:space="0" w:color="auto"/>
                    <w:left w:val="none" w:sz="0" w:space="0" w:color="auto"/>
                    <w:bottom w:val="none" w:sz="0" w:space="0" w:color="auto"/>
                    <w:right w:val="none" w:sz="0" w:space="0" w:color="auto"/>
                  </w:divBdr>
                </w:div>
              </w:divsChild>
            </w:div>
            <w:div w:id="313802562">
              <w:marLeft w:val="0"/>
              <w:marRight w:val="0"/>
              <w:marTop w:val="0"/>
              <w:marBottom w:val="0"/>
              <w:divBdr>
                <w:top w:val="none" w:sz="0" w:space="0" w:color="auto"/>
                <w:left w:val="none" w:sz="0" w:space="0" w:color="auto"/>
                <w:bottom w:val="none" w:sz="0" w:space="0" w:color="auto"/>
                <w:right w:val="none" w:sz="0" w:space="0" w:color="auto"/>
              </w:divBdr>
              <w:divsChild>
                <w:div w:id="1015613785">
                  <w:marLeft w:val="0"/>
                  <w:marRight w:val="0"/>
                  <w:marTop w:val="0"/>
                  <w:marBottom w:val="0"/>
                  <w:divBdr>
                    <w:top w:val="none" w:sz="0" w:space="0" w:color="auto"/>
                    <w:left w:val="none" w:sz="0" w:space="0" w:color="auto"/>
                    <w:bottom w:val="none" w:sz="0" w:space="0" w:color="auto"/>
                    <w:right w:val="none" w:sz="0" w:space="0" w:color="auto"/>
                  </w:divBdr>
                </w:div>
                <w:div w:id="887453518">
                  <w:marLeft w:val="0"/>
                  <w:marRight w:val="0"/>
                  <w:marTop w:val="0"/>
                  <w:marBottom w:val="0"/>
                  <w:divBdr>
                    <w:top w:val="none" w:sz="0" w:space="0" w:color="auto"/>
                    <w:left w:val="none" w:sz="0" w:space="0" w:color="auto"/>
                    <w:bottom w:val="none" w:sz="0" w:space="0" w:color="auto"/>
                    <w:right w:val="none" w:sz="0" w:space="0" w:color="auto"/>
                  </w:divBdr>
                </w:div>
              </w:divsChild>
            </w:div>
            <w:div w:id="2041662102">
              <w:marLeft w:val="0"/>
              <w:marRight w:val="0"/>
              <w:marTop w:val="0"/>
              <w:marBottom w:val="0"/>
              <w:divBdr>
                <w:top w:val="none" w:sz="0" w:space="0" w:color="auto"/>
                <w:left w:val="none" w:sz="0" w:space="0" w:color="auto"/>
                <w:bottom w:val="none" w:sz="0" w:space="0" w:color="auto"/>
                <w:right w:val="none" w:sz="0" w:space="0" w:color="auto"/>
              </w:divBdr>
              <w:divsChild>
                <w:div w:id="1933004823">
                  <w:marLeft w:val="0"/>
                  <w:marRight w:val="0"/>
                  <w:marTop w:val="0"/>
                  <w:marBottom w:val="0"/>
                  <w:divBdr>
                    <w:top w:val="none" w:sz="0" w:space="0" w:color="auto"/>
                    <w:left w:val="none" w:sz="0" w:space="0" w:color="auto"/>
                    <w:bottom w:val="none" w:sz="0" w:space="0" w:color="auto"/>
                    <w:right w:val="none" w:sz="0" w:space="0" w:color="auto"/>
                  </w:divBdr>
                </w:div>
                <w:div w:id="502403920">
                  <w:marLeft w:val="0"/>
                  <w:marRight w:val="0"/>
                  <w:marTop w:val="0"/>
                  <w:marBottom w:val="0"/>
                  <w:divBdr>
                    <w:top w:val="none" w:sz="0" w:space="0" w:color="auto"/>
                    <w:left w:val="none" w:sz="0" w:space="0" w:color="auto"/>
                    <w:bottom w:val="none" w:sz="0" w:space="0" w:color="auto"/>
                    <w:right w:val="none" w:sz="0" w:space="0" w:color="auto"/>
                  </w:divBdr>
                </w:div>
              </w:divsChild>
            </w:div>
            <w:div w:id="594553324">
              <w:marLeft w:val="0"/>
              <w:marRight w:val="0"/>
              <w:marTop w:val="0"/>
              <w:marBottom w:val="0"/>
              <w:divBdr>
                <w:top w:val="none" w:sz="0" w:space="0" w:color="auto"/>
                <w:left w:val="none" w:sz="0" w:space="0" w:color="auto"/>
                <w:bottom w:val="none" w:sz="0" w:space="0" w:color="auto"/>
                <w:right w:val="none" w:sz="0" w:space="0" w:color="auto"/>
              </w:divBdr>
              <w:divsChild>
                <w:div w:id="1969700431">
                  <w:marLeft w:val="0"/>
                  <w:marRight w:val="0"/>
                  <w:marTop w:val="0"/>
                  <w:marBottom w:val="0"/>
                  <w:divBdr>
                    <w:top w:val="none" w:sz="0" w:space="0" w:color="auto"/>
                    <w:left w:val="none" w:sz="0" w:space="0" w:color="auto"/>
                    <w:bottom w:val="none" w:sz="0" w:space="0" w:color="auto"/>
                    <w:right w:val="none" w:sz="0" w:space="0" w:color="auto"/>
                  </w:divBdr>
                </w:div>
                <w:div w:id="1797291608">
                  <w:marLeft w:val="0"/>
                  <w:marRight w:val="0"/>
                  <w:marTop w:val="0"/>
                  <w:marBottom w:val="0"/>
                  <w:divBdr>
                    <w:top w:val="none" w:sz="0" w:space="0" w:color="auto"/>
                    <w:left w:val="none" w:sz="0" w:space="0" w:color="auto"/>
                    <w:bottom w:val="none" w:sz="0" w:space="0" w:color="auto"/>
                    <w:right w:val="none" w:sz="0" w:space="0" w:color="auto"/>
                  </w:divBdr>
                </w:div>
              </w:divsChild>
            </w:div>
            <w:div w:id="1162964226">
              <w:marLeft w:val="0"/>
              <w:marRight w:val="0"/>
              <w:marTop w:val="0"/>
              <w:marBottom w:val="0"/>
              <w:divBdr>
                <w:top w:val="none" w:sz="0" w:space="0" w:color="auto"/>
                <w:left w:val="none" w:sz="0" w:space="0" w:color="auto"/>
                <w:bottom w:val="none" w:sz="0" w:space="0" w:color="auto"/>
                <w:right w:val="none" w:sz="0" w:space="0" w:color="auto"/>
              </w:divBdr>
            </w:div>
            <w:div w:id="771556470">
              <w:marLeft w:val="0"/>
              <w:marRight w:val="0"/>
              <w:marTop w:val="0"/>
              <w:marBottom w:val="0"/>
              <w:divBdr>
                <w:top w:val="none" w:sz="0" w:space="0" w:color="auto"/>
                <w:left w:val="none" w:sz="0" w:space="0" w:color="auto"/>
                <w:bottom w:val="none" w:sz="0" w:space="0" w:color="auto"/>
                <w:right w:val="none" w:sz="0" w:space="0" w:color="auto"/>
              </w:divBdr>
              <w:divsChild>
                <w:div w:id="173180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787c02b2-4bb8-4443-9130-f995fb8df0cc"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D2903D3B</Template>
  <TotalTime>3</TotalTime>
  <Pages>4</Pages>
  <Words>1609</Words>
  <Characters>8853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10442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2019-11-11T13:33:00Z</dcterms:created>
  <dcterms:modified xsi:type="dcterms:W3CDTF">2019-11-11T15:03:00Z</dcterms:modified>
</cp:coreProperties>
</file>