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hAnsi="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pt-PT"/>
        </w:rPr>
        <w:t>Fiji Housing PPP - Technical Consultant</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05-Apr-2019</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22-Apr-2019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FJ - Fiji</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TF0A3547 - DFAT FIJI</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w:t>
      </w:r>
      <w:r>
        <w:rPr>
          <w:rFonts w:ascii="Arial" w:hAnsi="Arial"/>
          <w:b w:val="1"/>
          <w:bCs w:val="1"/>
          <w:color w:val="212121"/>
          <w:sz w:val="24"/>
          <w:szCs w:val="24"/>
          <w:shd w:val="clear" w:color="auto" w:fill="ffffff"/>
          <w:rtl w:val="0"/>
          <w:lang w:val="en-US"/>
        </w:rPr>
        <w:t>v</w:t>
      </w:r>
      <w:r>
        <w:rPr>
          <w:rFonts w:ascii="Arial" w:hAnsi="Arial"/>
          <w:b w:val="1"/>
          <w:bCs w:val="1"/>
          <w:color w:val="212121"/>
          <w:sz w:val="24"/>
          <w:szCs w:val="24"/>
          <w:shd w:val="clear" w:color="auto" w:fill="ffffff"/>
          <w:rtl w:val="0"/>
        </w:rPr>
        <w:t>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1261932 - Fiji Housing PPP - Technical Consultant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Fiji</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Government of Fiji has engaged IFC as transaction advisor to advise on the structuring of a Public Private Partnership to develop affordable and climate resilient housing. The project is proposed to be implemented as a mixed income housing development consisting of both single unit dwellings and units under a strata scheme across a number of sites on Viti Levu, the main island of Fiji. To support IFC's advisory work on the project, IFC is looking to engage an experienced technical and engineering firm to carry out the following key tasks: (i) housing demand and affordability, (ii) development of technical specifications, (iii) project costing and (iv) technical support during the PPP design and bidding process.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DFAT FIJI</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[Please type list of restrictions]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3"/>
        </w:numPr>
        <w:bidi w:val="0"/>
        <w:ind w:right="0"/>
        <w:jc w:val="left"/>
        <w:rPr>
          <w:rFonts w:ascii="Arial" w:hAnsi="Arial"/>
          <w:color w:val="212121"/>
          <w:sz w:val="24"/>
          <w:szCs w:val="24"/>
          <w:shd w:val="clear" w:color="auto" w:fill="ffffff"/>
          <w:rtl w:val="0"/>
        </w:rPr>
      </w:pPr>
      <w:r>
        <w:rPr>
          <w:rFonts w:ascii="Arial" w:hAnsi="Arial"/>
          <w:b w:val="1"/>
          <w:bCs w:val="1"/>
          <w:color w:val="212121"/>
          <w:sz w:val="24"/>
          <w:szCs w:val="24"/>
          <w:shd w:val="clear" w:color="auto" w:fill="ffffff"/>
          <w:rtl w:val="0"/>
        </w:rPr>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numPr>
          <w:ilvl w:val="0"/>
          <w:numId w:val="3"/>
        </w:numPr>
        <w:bidi w:val="0"/>
        <w:ind w:right="0"/>
        <w:jc w:val="left"/>
        <w:rPr>
          <w:rFonts w:ascii="Arial" w:hAnsi="Arial"/>
          <w:color w:val="212121"/>
          <w:sz w:val="24"/>
          <w:szCs w:val="24"/>
          <w:shd w:val="clear" w:color="auto" w:fill="ffffff"/>
          <w:rtl w:val="0"/>
        </w:rPr>
      </w:pPr>
      <w:r>
        <w:rPr>
          <w:rFonts w:ascii="Arial" w:hAnsi="Arial"/>
          <w:b w:val="1"/>
          <w:bCs w:val="1"/>
          <w:color w:val="212121"/>
          <w:sz w:val="24"/>
          <w:szCs w:val="24"/>
          <w:shd w:val="clear" w:color="auto" w:fill="ffffff"/>
          <w:rtl w:val="0"/>
        </w:rPr>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numPr>
          <w:ilvl w:val="0"/>
          <w:numId w:val="3"/>
        </w:numPr>
        <w:bidi w:val="0"/>
        <w:ind w:right="0"/>
        <w:jc w:val="left"/>
        <w:rPr>
          <w:rFonts w:ascii="Arial" w:hAnsi="Arial"/>
          <w:color w:val="212121"/>
          <w:sz w:val="24"/>
          <w:szCs w:val="24"/>
          <w:shd w:val="clear" w:color="auto" w:fill="ffffff"/>
          <w:rtl w:val="0"/>
        </w:rPr>
      </w:pPr>
      <w:r>
        <w:rPr>
          <w:rFonts w:ascii="Arial" w:hAnsi="Arial"/>
          <w:b w:val="1"/>
          <w:bCs w:val="1"/>
          <w:color w:val="212121"/>
          <w:sz w:val="24"/>
          <w:szCs w:val="24"/>
          <w:shd w:val="clear" w:color="auto" w:fill="ffffff"/>
          <w:rtl w:val="0"/>
        </w:rPr>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numPr>
          <w:ilvl w:val="0"/>
          <w:numId w:val="3"/>
        </w:numPr>
        <w:bidi w:val="0"/>
        <w:ind w:right="0"/>
        <w:jc w:val="left"/>
        <w:rPr>
          <w:rFonts w:ascii="Arial" w:hAnsi="Arial"/>
          <w:color w:val="212121"/>
          <w:sz w:val="24"/>
          <w:szCs w:val="24"/>
          <w:shd w:val="clear" w:color="auto" w:fill="ffffff"/>
          <w:rtl w:val="0"/>
        </w:rPr>
      </w:pPr>
      <w:r>
        <w:rPr>
          <w:rFonts w:ascii="Arial" w:hAnsi="Arial"/>
          <w:b w:val="1"/>
          <w:bCs w:val="1"/>
          <w:color w:val="212121"/>
          <w:sz w:val="24"/>
          <w:szCs w:val="24"/>
          <w:shd w:val="clear" w:color="auto" w:fill="ffffff"/>
          <w:rtl w:val="0"/>
        </w:rPr>
        <w:t>4.</w:t>
      </w:r>
      <w:r>
        <w:rPr>
          <w:rFonts w:ascii="Arial" w:hAnsi="Arial"/>
          <w:color w:val="212121"/>
          <w:sz w:val="24"/>
          <w:szCs w:val="24"/>
          <w:shd w:val="clear" w:color="auto" w:fill="ffffff"/>
          <w:rtl w:val="0"/>
          <w:lang w:val="en-US"/>
        </w:rPr>
        <w:t xml:space="preserve"> Provide information on the qualifications of key staff.</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r>
        <w:rPr>
          <w:rFonts w:ascii="Arial" w:cs="Arial" w:hAnsi="Arial" w:eastAsia="Arial"/>
          <w:i w:val="1"/>
          <w:iCs w:val="1"/>
          <w:color w:val="212121"/>
          <w:sz w:val="21"/>
          <w:szCs w:val="21"/>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