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1261045</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Market Assessment for Distributed Generation in the Commercial and Industrial Sectors in Southern Africa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rPr>
        <w:t>30-Jan-2019</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 xml:space="preserve">18-Feb-2019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BW - Botswana</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MW - Malawi</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NA - Namibia</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ZA - South Africa</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nl-NL"/>
        </w:rPr>
        <w:tab/>
        <w:t>ZM - Zambia</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ZW - Zimbabwe</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TF0A5868 - GBIP for Climate Energy in SSA (CAS)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With improvements in technology, particular solar photovoltaic (PV) and battery storage, there are increased opportunities to reduce energy costs and transition to a low carbon economy through distributed generation (DG) in emerging markets. However, there remain some critical obstacles to the scale up of distributed generation (embedded generation) in the commercial and industrial (C&amp;I) space in the southern Africa region (multiple countries), stemming from regulatory barriers, a lack of appropriate incentives as well as information asymmetry related issues.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 part of IFCs efforts to expand distributed generation opportunities, particularly for C&amp;I sectors, IFC is interested in carrying out a regulatory and tariff regime review across a number of markets in the southern Africa subregion.</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