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55A9" w:rsidRPr="00BB55A9" w:rsidRDefault="00BB55A9" w:rsidP="00BB55A9">
      <w:pPr>
        <w:spacing w:after="0" w:line="240" w:lineRule="auto"/>
        <w:rPr>
          <w:rFonts w:ascii="Arial" w:eastAsia="Times New Roman" w:hAnsi="Arial" w:cs="Arial"/>
          <w:b/>
          <w:color w:val="222222"/>
          <w:szCs w:val="18"/>
          <w:lang w:eastAsia="nl-NL"/>
        </w:rPr>
      </w:pPr>
      <w:bookmarkStart w:id="0" w:name="_GoBack"/>
      <w:r w:rsidRPr="00BB55A9">
        <w:rPr>
          <w:rFonts w:ascii="Arial" w:eastAsia="Times New Roman" w:hAnsi="Arial" w:cs="Arial"/>
          <w:b/>
          <w:color w:val="222222"/>
          <w:szCs w:val="18"/>
          <w:lang w:eastAsia="nl-NL"/>
        </w:rPr>
        <w:t>Enabling Environment and Development of PPP Framework in Urban Sanitation</w:t>
      </w:r>
      <w:bookmarkEnd w:id="0"/>
      <w:r w:rsidRPr="00BB55A9">
        <w:rPr>
          <w:rFonts w:ascii="Arial" w:eastAsia="Times New Roman" w:hAnsi="Arial" w:cs="Arial"/>
          <w:b/>
          <w:color w:val="222222"/>
          <w:szCs w:val="18"/>
          <w:lang w:eastAsia="nl-NL"/>
        </w:rPr>
        <w:t xml:space="preserve"> #1260173</w:t>
      </w:r>
    </w:p>
    <w:p w:rsidR="00BB55A9" w:rsidRDefault="00BB55A9" w:rsidP="00BB55A9">
      <w:pPr>
        <w:spacing w:after="0" w:line="240" w:lineRule="auto"/>
        <w:rPr>
          <w:rFonts w:ascii="Arial" w:eastAsia="Times New Roman" w:hAnsi="Arial" w:cs="Arial"/>
          <w:b/>
          <w:bCs/>
          <w:color w:val="222222"/>
          <w:sz w:val="18"/>
          <w:szCs w:val="18"/>
          <w:lang w:eastAsia="nl-NL"/>
        </w:rPr>
      </w:pPr>
    </w:p>
    <w:p w:rsidR="00BB55A9" w:rsidRPr="00BB55A9" w:rsidRDefault="00BB55A9" w:rsidP="00BB55A9">
      <w:pPr>
        <w:spacing w:after="0" w:line="240" w:lineRule="auto"/>
        <w:rPr>
          <w:rFonts w:ascii="Arial" w:eastAsia="Times New Roman" w:hAnsi="Arial" w:cs="Arial"/>
          <w:b/>
          <w:bCs/>
          <w:color w:val="222222"/>
          <w:sz w:val="18"/>
          <w:szCs w:val="18"/>
          <w:lang w:eastAsia="nl-NL"/>
        </w:rPr>
      </w:pPr>
      <w:r w:rsidRPr="00BB55A9">
        <w:rPr>
          <w:rFonts w:ascii="Arial" w:eastAsia="Times New Roman" w:hAnsi="Arial" w:cs="Arial"/>
          <w:b/>
          <w:bCs/>
          <w:color w:val="222222"/>
          <w:sz w:val="18"/>
          <w:szCs w:val="18"/>
          <w:lang w:eastAsia="nl-NL"/>
        </w:rPr>
        <w:t>Assignment Title</w:t>
      </w:r>
    </w:p>
    <w:p w:rsidR="00BB55A9" w:rsidRPr="00BB55A9" w:rsidRDefault="00BB55A9" w:rsidP="00BB55A9">
      <w:pPr>
        <w:spacing w:after="0" w:line="240" w:lineRule="auto"/>
        <w:rPr>
          <w:rFonts w:ascii="Arial" w:eastAsia="Times New Roman" w:hAnsi="Arial" w:cs="Arial"/>
          <w:color w:val="222222"/>
          <w:sz w:val="18"/>
          <w:szCs w:val="18"/>
          <w:lang w:eastAsia="nl-NL"/>
        </w:rPr>
      </w:pPr>
      <w:r w:rsidRPr="00BB55A9">
        <w:rPr>
          <w:rFonts w:ascii="Arial" w:eastAsia="Times New Roman" w:hAnsi="Arial" w:cs="Arial"/>
          <w:color w:val="222222"/>
          <w:sz w:val="18"/>
          <w:szCs w:val="18"/>
          <w:lang w:eastAsia="nl-NL"/>
        </w:rPr>
        <w:t>Enabling Environment and Development of Public-Private Partnership (PPP) Framework in Urban Sanitation</w:t>
      </w:r>
    </w:p>
    <w:p w:rsidR="00BB55A9" w:rsidRDefault="00BB55A9" w:rsidP="00BB55A9">
      <w:pPr>
        <w:spacing w:after="0" w:line="240" w:lineRule="auto"/>
        <w:rPr>
          <w:rFonts w:ascii="Arial" w:eastAsia="Times New Roman" w:hAnsi="Arial" w:cs="Arial"/>
          <w:b/>
          <w:bCs/>
          <w:color w:val="222222"/>
          <w:sz w:val="18"/>
          <w:szCs w:val="18"/>
          <w:lang w:eastAsia="nl-NL"/>
        </w:rPr>
      </w:pPr>
    </w:p>
    <w:p w:rsidR="00BB55A9" w:rsidRPr="00BB55A9" w:rsidRDefault="00BB55A9" w:rsidP="00BB55A9">
      <w:pPr>
        <w:spacing w:after="0" w:line="240" w:lineRule="auto"/>
        <w:rPr>
          <w:rFonts w:ascii="Arial" w:eastAsia="Times New Roman" w:hAnsi="Arial" w:cs="Arial"/>
          <w:b/>
          <w:bCs/>
          <w:color w:val="222222"/>
          <w:sz w:val="18"/>
          <w:szCs w:val="18"/>
          <w:lang w:eastAsia="nl-NL"/>
        </w:rPr>
      </w:pPr>
      <w:r w:rsidRPr="00BB55A9">
        <w:rPr>
          <w:rFonts w:ascii="Arial" w:eastAsia="Times New Roman" w:hAnsi="Arial" w:cs="Arial"/>
          <w:b/>
          <w:bCs/>
          <w:color w:val="222222"/>
          <w:sz w:val="18"/>
          <w:szCs w:val="18"/>
          <w:lang w:eastAsia="nl-NL"/>
        </w:rPr>
        <w:t>Publication Date</w:t>
      </w:r>
    </w:p>
    <w:p w:rsidR="00BB55A9" w:rsidRPr="00BB55A9" w:rsidRDefault="00BB55A9" w:rsidP="00BB55A9">
      <w:pPr>
        <w:spacing w:after="0" w:line="240" w:lineRule="auto"/>
        <w:rPr>
          <w:rFonts w:ascii="Arial" w:eastAsia="Times New Roman" w:hAnsi="Arial" w:cs="Arial"/>
          <w:color w:val="222222"/>
          <w:sz w:val="18"/>
          <w:szCs w:val="18"/>
          <w:lang w:eastAsia="nl-NL"/>
        </w:rPr>
      </w:pPr>
      <w:r w:rsidRPr="00BB55A9">
        <w:rPr>
          <w:rFonts w:ascii="Arial" w:eastAsia="Times New Roman" w:hAnsi="Arial" w:cs="Arial"/>
          <w:color w:val="222222"/>
          <w:sz w:val="18"/>
          <w:szCs w:val="18"/>
          <w:lang w:eastAsia="nl-NL"/>
        </w:rPr>
        <w:t> 04-Dec-2018</w:t>
      </w:r>
    </w:p>
    <w:p w:rsidR="00BB55A9" w:rsidRDefault="00BB55A9" w:rsidP="00BB55A9">
      <w:pPr>
        <w:spacing w:after="0" w:line="240" w:lineRule="auto"/>
        <w:rPr>
          <w:rFonts w:ascii="Arial" w:eastAsia="Times New Roman" w:hAnsi="Arial" w:cs="Arial"/>
          <w:b/>
          <w:bCs/>
          <w:color w:val="222222"/>
          <w:sz w:val="18"/>
          <w:szCs w:val="18"/>
          <w:lang w:eastAsia="nl-NL"/>
        </w:rPr>
      </w:pPr>
    </w:p>
    <w:p w:rsidR="00BB55A9" w:rsidRPr="00BB55A9" w:rsidRDefault="00BB55A9" w:rsidP="00BB55A9">
      <w:pPr>
        <w:spacing w:after="0" w:line="240" w:lineRule="auto"/>
        <w:rPr>
          <w:rFonts w:ascii="Arial" w:eastAsia="Times New Roman" w:hAnsi="Arial" w:cs="Arial"/>
          <w:b/>
          <w:bCs/>
          <w:color w:val="222222"/>
          <w:sz w:val="18"/>
          <w:szCs w:val="18"/>
          <w:lang w:eastAsia="nl-NL"/>
        </w:rPr>
      </w:pPr>
      <w:r w:rsidRPr="00BB55A9">
        <w:rPr>
          <w:rFonts w:ascii="Arial" w:eastAsia="Times New Roman" w:hAnsi="Arial" w:cs="Arial"/>
          <w:b/>
          <w:bCs/>
          <w:color w:val="222222"/>
          <w:sz w:val="18"/>
          <w:szCs w:val="18"/>
          <w:lang w:eastAsia="nl-NL"/>
        </w:rPr>
        <w:t>Expression of Interest Deadline</w:t>
      </w:r>
    </w:p>
    <w:p w:rsidR="00BB55A9" w:rsidRPr="00BB55A9" w:rsidRDefault="00BB55A9" w:rsidP="00BB55A9">
      <w:pPr>
        <w:spacing w:after="0" w:line="240" w:lineRule="auto"/>
        <w:rPr>
          <w:rFonts w:ascii="Arial" w:eastAsia="Times New Roman" w:hAnsi="Arial" w:cs="Arial"/>
          <w:color w:val="222222"/>
          <w:sz w:val="18"/>
          <w:szCs w:val="18"/>
          <w:lang w:eastAsia="nl-NL"/>
        </w:rPr>
      </w:pPr>
      <w:r w:rsidRPr="00BB55A9">
        <w:rPr>
          <w:rFonts w:ascii="Arial" w:eastAsia="Times New Roman" w:hAnsi="Arial" w:cs="Arial"/>
          <w:color w:val="222222"/>
          <w:sz w:val="18"/>
          <w:szCs w:val="18"/>
          <w:lang w:eastAsia="nl-NL"/>
        </w:rPr>
        <w:t> 20-Dec-2018 at 11:59:59 PM (Eastern Time – Washington D.C.)</w:t>
      </w:r>
    </w:p>
    <w:p w:rsidR="00BB55A9" w:rsidRDefault="00BB55A9" w:rsidP="00BB55A9">
      <w:pPr>
        <w:spacing w:after="0" w:line="240" w:lineRule="auto"/>
        <w:rPr>
          <w:rFonts w:ascii="Arial" w:eastAsia="Times New Roman" w:hAnsi="Arial" w:cs="Arial"/>
          <w:b/>
          <w:bCs/>
          <w:color w:val="222222"/>
          <w:sz w:val="18"/>
          <w:szCs w:val="18"/>
          <w:lang w:val="nl-NL" w:eastAsia="nl-NL"/>
        </w:rPr>
      </w:pPr>
    </w:p>
    <w:p w:rsidR="00BB55A9" w:rsidRPr="00BB55A9" w:rsidRDefault="00BB55A9" w:rsidP="00BB55A9">
      <w:pPr>
        <w:spacing w:after="0" w:line="240" w:lineRule="auto"/>
        <w:rPr>
          <w:rFonts w:ascii="Arial" w:eastAsia="Times New Roman" w:hAnsi="Arial" w:cs="Arial"/>
          <w:b/>
          <w:bCs/>
          <w:vanish/>
          <w:color w:val="222222"/>
          <w:sz w:val="18"/>
          <w:szCs w:val="18"/>
          <w:lang w:val="nl-NL" w:eastAsia="nl-NL"/>
        </w:rPr>
      </w:pPr>
      <w:r w:rsidRPr="00BB55A9">
        <w:rPr>
          <w:rFonts w:ascii="Arial" w:eastAsia="Times New Roman" w:hAnsi="Arial" w:cs="Arial"/>
          <w:b/>
          <w:bCs/>
          <w:vanish/>
          <w:color w:val="222222"/>
          <w:sz w:val="18"/>
          <w:szCs w:val="18"/>
          <w:lang w:val="nl-NL" w:eastAsia="nl-NL"/>
        </w:rPr>
        <w:t>Contact Name</w:t>
      </w:r>
    </w:p>
    <w:p w:rsidR="00BB55A9" w:rsidRPr="00BB55A9" w:rsidRDefault="00BB55A9" w:rsidP="00BB55A9">
      <w:pPr>
        <w:spacing w:after="0" w:line="240" w:lineRule="auto"/>
        <w:rPr>
          <w:rFonts w:ascii="Arial" w:eastAsia="Times New Roman" w:hAnsi="Arial" w:cs="Arial"/>
          <w:vanish/>
          <w:color w:val="222222"/>
          <w:sz w:val="18"/>
          <w:szCs w:val="18"/>
          <w:lang w:val="nl-NL" w:eastAsia="nl-NL"/>
        </w:rPr>
      </w:pPr>
      <w:r w:rsidRPr="00BB55A9">
        <w:rPr>
          <w:rFonts w:ascii="Arial" w:eastAsia="Times New Roman" w:hAnsi="Arial" w:cs="Arial"/>
          <w:vanish/>
          <w:color w:val="222222"/>
          <w:sz w:val="18"/>
          <w:szCs w:val="18"/>
          <w:lang w:val="nl-NL" w:eastAsia="nl-NL"/>
        </w:rPr>
        <w:t> </w:t>
      </w:r>
    </w:p>
    <w:p w:rsidR="00BB55A9" w:rsidRPr="00BB55A9" w:rsidRDefault="00BB55A9" w:rsidP="00BB55A9">
      <w:pPr>
        <w:spacing w:after="0" w:line="240" w:lineRule="auto"/>
        <w:rPr>
          <w:rFonts w:ascii="Arial" w:eastAsia="Times New Roman" w:hAnsi="Arial" w:cs="Arial"/>
          <w:b/>
          <w:bCs/>
          <w:vanish/>
          <w:color w:val="222222"/>
          <w:sz w:val="18"/>
          <w:szCs w:val="18"/>
          <w:lang w:val="nl-NL" w:eastAsia="nl-NL"/>
        </w:rPr>
      </w:pPr>
      <w:r w:rsidRPr="00BB55A9">
        <w:rPr>
          <w:rFonts w:ascii="Arial" w:eastAsia="Times New Roman" w:hAnsi="Arial" w:cs="Arial"/>
          <w:b/>
          <w:bCs/>
          <w:vanish/>
          <w:color w:val="222222"/>
          <w:sz w:val="18"/>
          <w:szCs w:val="18"/>
          <w:lang w:val="nl-NL" w:eastAsia="nl-NL"/>
        </w:rPr>
        <w:t>Contact Email</w:t>
      </w:r>
    </w:p>
    <w:p w:rsidR="00BB55A9" w:rsidRPr="00BB55A9" w:rsidRDefault="00BB55A9" w:rsidP="00BB55A9">
      <w:pPr>
        <w:spacing w:after="0" w:line="240" w:lineRule="auto"/>
        <w:rPr>
          <w:rFonts w:ascii="Arial" w:eastAsia="Times New Roman" w:hAnsi="Arial" w:cs="Arial"/>
          <w:vanish/>
          <w:color w:val="222222"/>
          <w:sz w:val="18"/>
          <w:szCs w:val="18"/>
          <w:lang w:val="nl-NL" w:eastAsia="nl-NL"/>
        </w:rPr>
      </w:pPr>
      <w:r w:rsidRPr="00BB55A9">
        <w:rPr>
          <w:rFonts w:ascii="Arial" w:eastAsia="Times New Roman" w:hAnsi="Arial" w:cs="Arial"/>
          <w:vanish/>
          <w:color w:val="222222"/>
          <w:sz w:val="18"/>
          <w:szCs w:val="18"/>
          <w:lang w:val="nl-NL" w:eastAsia="nl-NL"/>
        </w:rPr>
        <w:t> </w:t>
      </w:r>
    </w:p>
    <w:p w:rsidR="00BB55A9" w:rsidRPr="00BB55A9" w:rsidRDefault="00BB55A9" w:rsidP="00BB55A9">
      <w:pPr>
        <w:spacing w:after="0" w:line="240" w:lineRule="auto"/>
        <w:rPr>
          <w:rFonts w:ascii="Arial" w:eastAsia="Times New Roman" w:hAnsi="Arial" w:cs="Arial"/>
          <w:b/>
          <w:bCs/>
          <w:vanish/>
          <w:color w:val="222222"/>
          <w:sz w:val="18"/>
          <w:szCs w:val="18"/>
          <w:lang w:val="nl-NL" w:eastAsia="nl-NL"/>
        </w:rPr>
      </w:pPr>
      <w:r w:rsidRPr="00BB55A9">
        <w:rPr>
          <w:rFonts w:ascii="Arial" w:eastAsia="Times New Roman" w:hAnsi="Arial" w:cs="Arial"/>
          <w:b/>
          <w:bCs/>
          <w:vanish/>
          <w:color w:val="222222"/>
          <w:sz w:val="18"/>
          <w:szCs w:val="18"/>
          <w:lang w:val="nl-NL" w:eastAsia="nl-NL"/>
        </w:rPr>
        <w:t>Contact Phone</w:t>
      </w:r>
    </w:p>
    <w:p w:rsidR="00BB55A9" w:rsidRPr="00BB55A9" w:rsidRDefault="00BB55A9" w:rsidP="00BB55A9">
      <w:pPr>
        <w:spacing w:after="0" w:line="240" w:lineRule="auto"/>
        <w:rPr>
          <w:rFonts w:ascii="Arial" w:eastAsia="Times New Roman" w:hAnsi="Arial" w:cs="Arial"/>
          <w:vanish/>
          <w:color w:val="222222"/>
          <w:sz w:val="18"/>
          <w:szCs w:val="18"/>
          <w:lang w:val="nl-NL" w:eastAsia="nl-NL"/>
        </w:rPr>
      </w:pPr>
      <w:r w:rsidRPr="00BB55A9">
        <w:rPr>
          <w:rFonts w:ascii="Arial" w:eastAsia="Times New Roman" w:hAnsi="Arial" w:cs="Arial"/>
          <w:vanish/>
          <w:color w:val="222222"/>
          <w:sz w:val="18"/>
          <w:szCs w:val="18"/>
          <w:lang w:val="nl-NL" w:eastAsia="nl-NL"/>
        </w:rPr>
        <w:t> </w:t>
      </w:r>
    </w:p>
    <w:p w:rsidR="00BB55A9" w:rsidRPr="00BB55A9" w:rsidRDefault="00BB55A9" w:rsidP="00BB55A9">
      <w:pPr>
        <w:spacing w:after="0" w:line="240" w:lineRule="auto"/>
        <w:rPr>
          <w:rFonts w:ascii="Arial" w:eastAsia="Times New Roman" w:hAnsi="Arial" w:cs="Arial"/>
          <w:b/>
          <w:bCs/>
          <w:vanish/>
          <w:color w:val="222222"/>
          <w:sz w:val="18"/>
          <w:szCs w:val="18"/>
          <w:lang w:val="nl-NL" w:eastAsia="nl-NL"/>
        </w:rPr>
      </w:pPr>
      <w:r w:rsidRPr="00BB55A9">
        <w:rPr>
          <w:rFonts w:ascii="Arial" w:eastAsia="Times New Roman" w:hAnsi="Arial" w:cs="Arial"/>
          <w:b/>
          <w:bCs/>
          <w:vanish/>
          <w:color w:val="222222"/>
          <w:sz w:val="18"/>
          <w:szCs w:val="18"/>
          <w:lang w:val="nl-NL" w:eastAsia="nl-NL"/>
        </w:rPr>
        <w:t>Contact Fax</w:t>
      </w:r>
    </w:p>
    <w:p w:rsidR="00BB55A9" w:rsidRPr="00BB55A9" w:rsidRDefault="00BB55A9" w:rsidP="00BB55A9">
      <w:pPr>
        <w:spacing w:after="0" w:line="240" w:lineRule="auto"/>
        <w:rPr>
          <w:rFonts w:ascii="Arial" w:eastAsia="Times New Roman" w:hAnsi="Arial" w:cs="Arial"/>
          <w:vanish/>
          <w:color w:val="222222"/>
          <w:sz w:val="18"/>
          <w:szCs w:val="18"/>
          <w:lang w:val="nl-NL" w:eastAsia="nl-NL"/>
        </w:rPr>
      </w:pPr>
      <w:r w:rsidRPr="00BB55A9">
        <w:rPr>
          <w:rFonts w:ascii="Arial" w:eastAsia="Times New Roman" w:hAnsi="Arial" w:cs="Arial"/>
          <w:vanish/>
          <w:color w:val="222222"/>
          <w:sz w:val="18"/>
          <w:szCs w:val="18"/>
          <w:lang w:val="nl-NL" w:eastAsia="nl-NL"/>
        </w:rPr>
        <w:t> </w:t>
      </w:r>
    </w:p>
    <w:p w:rsidR="00BB55A9" w:rsidRPr="00BB55A9" w:rsidRDefault="00BB55A9" w:rsidP="00BB55A9">
      <w:pPr>
        <w:spacing w:after="0" w:line="240" w:lineRule="auto"/>
        <w:rPr>
          <w:rFonts w:ascii="Arial" w:eastAsia="Times New Roman" w:hAnsi="Arial" w:cs="Arial"/>
          <w:b/>
          <w:bCs/>
          <w:color w:val="222222"/>
          <w:sz w:val="18"/>
          <w:szCs w:val="18"/>
          <w:lang w:eastAsia="nl-NL"/>
        </w:rPr>
      </w:pPr>
      <w:r w:rsidRPr="00BB55A9">
        <w:rPr>
          <w:rFonts w:ascii="Arial" w:eastAsia="Times New Roman" w:hAnsi="Arial" w:cs="Arial"/>
          <w:b/>
          <w:bCs/>
          <w:color w:val="222222"/>
          <w:sz w:val="18"/>
          <w:szCs w:val="18"/>
          <w:lang w:eastAsia="nl-NL"/>
        </w:rPr>
        <w:t>Language of Notice</w:t>
      </w:r>
    </w:p>
    <w:p w:rsidR="00BB55A9" w:rsidRPr="00BB55A9" w:rsidRDefault="00BB55A9" w:rsidP="00BB55A9">
      <w:pPr>
        <w:spacing w:after="0" w:line="240" w:lineRule="auto"/>
        <w:rPr>
          <w:rFonts w:ascii="Arial" w:eastAsia="Times New Roman" w:hAnsi="Arial" w:cs="Arial"/>
          <w:color w:val="222222"/>
          <w:sz w:val="18"/>
          <w:szCs w:val="18"/>
          <w:lang w:eastAsia="nl-NL"/>
        </w:rPr>
      </w:pPr>
      <w:r w:rsidRPr="00BB55A9">
        <w:rPr>
          <w:rFonts w:ascii="Arial" w:eastAsia="Times New Roman" w:hAnsi="Arial" w:cs="Arial"/>
          <w:color w:val="222222"/>
          <w:sz w:val="18"/>
          <w:szCs w:val="18"/>
          <w:lang w:eastAsia="nl-NL"/>
        </w:rPr>
        <w:t> English</w:t>
      </w:r>
    </w:p>
    <w:p w:rsidR="00BB55A9" w:rsidRDefault="00BB55A9" w:rsidP="00BB55A9">
      <w:pPr>
        <w:spacing w:after="0" w:line="240" w:lineRule="auto"/>
        <w:rPr>
          <w:rFonts w:ascii="Arial" w:eastAsia="Times New Roman" w:hAnsi="Arial" w:cs="Arial"/>
          <w:b/>
          <w:bCs/>
          <w:color w:val="222222"/>
          <w:sz w:val="18"/>
          <w:szCs w:val="18"/>
          <w:lang w:val="nl-NL" w:eastAsia="nl-NL"/>
        </w:rPr>
      </w:pPr>
    </w:p>
    <w:p w:rsidR="00BB55A9" w:rsidRPr="00BB55A9" w:rsidRDefault="00BB55A9" w:rsidP="00BB55A9">
      <w:pPr>
        <w:spacing w:after="0" w:line="240" w:lineRule="auto"/>
        <w:rPr>
          <w:rFonts w:ascii="Arial" w:eastAsia="Times New Roman" w:hAnsi="Arial" w:cs="Arial"/>
          <w:b/>
          <w:bCs/>
          <w:color w:val="222222"/>
          <w:sz w:val="18"/>
          <w:szCs w:val="18"/>
          <w:lang w:val="nl-NL" w:eastAsia="nl-NL"/>
        </w:rPr>
      </w:pPr>
      <w:proofErr w:type="spellStart"/>
      <w:r w:rsidRPr="00BB55A9">
        <w:rPr>
          <w:rFonts w:ascii="Arial" w:eastAsia="Times New Roman" w:hAnsi="Arial" w:cs="Arial"/>
          <w:b/>
          <w:bCs/>
          <w:color w:val="222222"/>
          <w:sz w:val="18"/>
          <w:szCs w:val="18"/>
          <w:lang w:val="nl-NL" w:eastAsia="nl-NL"/>
        </w:rPr>
        <w:t>Assignment</w:t>
      </w:r>
      <w:proofErr w:type="spellEnd"/>
      <w:r w:rsidRPr="00BB55A9">
        <w:rPr>
          <w:rFonts w:ascii="Arial" w:eastAsia="Times New Roman" w:hAnsi="Arial" w:cs="Arial"/>
          <w:b/>
          <w:bCs/>
          <w:color w:val="222222"/>
          <w:sz w:val="18"/>
          <w:szCs w:val="18"/>
          <w:lang w:val="nl-NL" w:eastAsia="nl-NL"/>
        </w:rPr>
        <w:t xml:space="preserve"> Country</w:t>
      </w:r>
    </w:p>
    <w:p w:rsidR="00BB55A9" w:rsidRPr="00BB55A9" w:rsidRDefault="00BB55A9" w:rsidP="00BB55A9">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BB55A9">
        <w:rPr>
          <w:rFonts w:ascii="Arial" w:eastAsia="Times New Roman" w:hAnsi="Arial" w:cs="Arial"/>
          <w:color w:val="222222"/>
          <w:sz w:val="18"/>
          <w:szCs w:val="18"/>
          <w:lang w:val="nl-NL" w:eastAsia="nl-NL"/>
        </w:rPr>
        <w:t>ET - Ethiopia</w:t>
      </w:r>
    </w:p>
    <w:p w:rsidR="00BB55A9" w:rsidRPr="00BB55A9" w:rsidRDefault="00BB55A9" w:rsidP="00BB55A9">
      <w:pPr>
        <w:spacing w:after="0" w:line="240" w:lineRule="auto"/>
        <w:rPr>
          <w:rFonts w:ascii="Arial" w:eastAsia="Times New Roman" w:hAnsi="Arial" w:cs="Arial"/>
          <w:b/>
          <w:bCs/>
          <w:color w:val="222222"/>
          <w:sz w:val="18"/>
          <w:szCs w:val="18"/>
          <w:lang w:val="nl-NL" w:eastAsia="nl-NL"/>
        </w:rPr>
      </w:pPr>
      <w:proofErr w:type="spellStart"/>
      <w:r w:rsidRPr="00BB55A9">
        <w:rPr>
          <w:rFonts w:ascii="Arial" w:eastAsia="Times New Roman" w:hAnsi="Arial" w:cs="Arial"/>
          <w:b/>
          <w:bCs/>
          <w:color w:val="222222"/>
          <w:sz w:val="18"/>
          <w:szCs w:val="18"/>
          <w:lang w:val="nl-NL" w:eastAsia="nl-NL"/>
        </w:rPr>
        <w:t>Funding</w:t>
      </w:r>
      <w:proofErr w:type="spellEnd"/>
      <w:r w:rsidRPr="00BB55A9">
        <w:rPr>
          <w:rFonts w:ascii="Arial" w:eastAsia="Times New Roman" w:hAnsi="Arial" w:cs="Arial"/>
          <w:b/>
          <w:bCs/>
          <w:color w:val="222222"/>
          <w:sz w:val="18"/>
          <w:szCs w:val="18"/>
          <w:lang w:val="nl-NL" w:eastAsia="nl-NL"/>
        </w:rPr>
        <w:t xml:space="preserve"> Sources</w:t>
      </w:r>
    </w:p>
    <w:p w:rsidR="00BB55A9" w:rsidRPr="00BB55A9" w:rsidRDefault="00BB55A9" w:rsidP="00BB55A9">
      <w:pPr>
        <w:spacing w:after="0" w:line="240" w:lineRule="auto"/>
        <w:rPr>
          <w:rFonts w:ascii="Arial" w:eastAsia="Times New Roman" w:hAnsi="Arial" w:cs="Arial"/>
          <w:color w:val="222222"/>
          <w:sz w:val="18"/>
          <w:szCs w:val="18"/>
          <w:lang w:eastAsia="nl-NL"/>
        </w:rPr>
      </w:pPr>
      <w:r w:rsidRPr="00BB55A9">
        <w:rPr>
          <w:rFonts w:ascii="Arial" w:eastAsia="Times New Roman" w:hAnsi="Arial" w:cs="Arial"/>
          <w:color w:val="222222"/>
          <w:sz w:val="18"/>
          <w:szCs w:val="18"/>
          <w:lang w:eastAsia="nl-NL"/>
        </w:rPr>
        <w:t xml:space="preserve">The World Bank Group intends to finance the assignment/services under: </w:t>
      </w:r>
    </w:p>
    <w:p w:rsidR="00BB55A9" w:rsidRPr="00BB55A9" w:rsidRDefault="00BB55A9" w:rsidP="00BB55A9">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BB55A9">
        <w:rPr>
          <w:rFonts w:ascii="Arial" w:eastAsia="Times New Roman" w:hAnsi="Arial" w:cs="Arial"/>
          <w:color w:val="222222"/>
          <w:sz w:val="18"/>
          <w:szCs w:val="18"/>
          <w:lang w:val="nl-NL" w:eastAsia="nl-NL"/>
        </w:rPr>
        <w:t>BB - BANK BUDGET</w:t>
      </w:r>
    </w:p>
    <w:p w:rsidR="00BB55A9" w:rsidRPr="00BB55A9" w:rsidRDefault="00BB55A9" w:rsidP="00BB55A9">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BB55A9">
        <w:rPr>
          <w:rFonts w:ascii="Arial" w:eastAsia="Times New Roman" w:hAnsi="Arial" w:cs="Arial"/>
          <w:color w:val="222222"/>
          <w:sz w:val="18"/>
          <w:szCs w:val="18"/>
          <w:lang w:eastAsia="nl-NL"/>
        </w:rPr>
        <w:t>TF0A7903 - Global Water Security and Sanitation Partnership</w:t>
      </w:r>
    </w:p>
    <w:p w:rsidR="00BB55A9" w:rsidRPr="00BB55A9" w:rsidRDefault="00BB55A9" w:rsidP="00BB55A9">
      <w:pPr>
        <w:spacing w:after="0" w:line="240" w:lineRule="auto"/>
        <w:rPr>
          <w:rFonts w:ascii="Arial" w:eastAsia="Times New Roman" w:hAnsi="Arial" w:cs="Arial"/>
          <w:b/>
          <w:bCs/>
          <w:color w:val="222222"/>
          <w:sz w:val="18"/>
          <w:szCs w:val="18"/>
          <w:lang w:eastAsia="nl-NL"/>
        </w:rPr>
      </w:pPr>
      <w:r w:rsidRPr="00BB55A9">
        <w:rPr>
          <w:rFonts w:ascii="Arial" w:eastAsia="Times New Roman" w:hAnsi="Arial" w:cs="Arial"/>
          <w:b/>
          <w:bCs/>
          <w:color w:val="222222"/>
          <w:sz w:val="18"/>
          <w:szCs w:val="18"/>
          <w:lang w:eastAsia="nl-NL"/>
        </w:rPr>
        <w:t>Individual/Firm</w:t>
      </w:r>
    </w:p>
    <w:p w:rsidR="00BB55A9" w:rsidRPr="00BB55A9" w:rsidRDefault="00BB55A9" w:rsidP="00BB55A9">
      <w:pPr>
        <w:spacing w:after="0" w:line="240" w:lineRule="auto"/>
        <w:rPr>
          <w:rFonts w:ascii="Arial" w:eastAsia="Times New Roman" w:hAnsi="Arial" w:cs="Arial"/>
          <w:color w:val="222222"/>
          <w:sz w:val="18"/>
          <w:szCs w:val="18"/>
          <w:lang w:eastAsia="nl-NL"/>
        </w:rPr>
      </w:pPr>
      <w:r w:rsidRPr="00BB55A9">
        <w:rPr>
          <w:rFonts w:ascii="Arial" w:eastAsia="Times New Roman" w:hAnsi="Arial" w:cs="Arial"/>
          <w:vanish/>
          <w:color w:val="222222"/>
          <w:sz w:val="18"/>
          <w:szCs w:val="18"/>
          <w:lang w:eastAsia="nl-NL"/>
        </w:rPr>
        <w:t>The consultant will be an individual.</w:t>
      </w:r>
      <w:r w:rsidRPr="00BB55A9">
        <w:rPr>
          <w:rFonts w:ascii="Arial" w:eastAsia="Times New Roman" w:hAnsi="Arial" w:cs="Arial"/>
          <w:color w:val="222222"/>
          <w:sz w:val="18"/>
          <w:szCs w:val="18"/>
          <w:lang w:eastAsia="nl-NL"/>
        </w:rPr>
        <w:t xml:space="preserve"> The consultant will be a firm. </w:t>
      </w:r>
    </w:p>
    <w:p w:rsidR="00BB55A9" w:rsidRDefault="00BB55A9" w:rsidP="00BB55A9">
      <w:pPr>
        <w:spacing w:after="0" w:line="240" w:lineRule="auto"/>
        <w:rPr>
          <w:rFonts w:ascii="Arial" w:eastAsia="Times New Roman" w:hAnsi="Arial" w:cs="Arial"/>
          <w:color w:val="222222"/>
          <w:sz w:val="18"/>
          <w:szCs w:val="18"/>
          <w:lang w:val="nl-NL" w:eastAsia="nl-NL"/>
        </w:rPr>
      </w:pPr>
    </w:p>
    <w:p w:rsidR="00BB55A9" w:rsidRPr="00BB55A9" w:rsidRDefault="00BB55A9" w:rsidP="00BB55A9">
      <w:pPr>
        <w:spacing w:after="0" w:line="240" w:lineRule="auto"/>
        <w:rPr>
          <w:rFonts w:ascii="Arial" w:eastAsia="Times New Roman" w:hAnsi="Arial" w:cs="Arial"/>
          <w:b/>
          <w:color w:val="222222"/>
          <w:sz w:val="18"/>
          <w:szCs w:val="18"/>
          <w:lang w:val="nl-NL" w:eastAsia="nl-NL"/>
        </w:rPr>
      </w:pPr>
      <w:proofErr w:type="spellStart"/>
      <w:r w:rsidRPr="00BB55A9">
        <w:rPr>
          <w:rFonts w:ascii="Arial" w:eastAsia="Times New Roman" w:hAnsi="Arial" w:cs="Arial"/>
          <w:b/>
          <w:color w:val="222222"/>
          <w:sz w:val="18"/>
          <w:szCs w:val="18"/>
          <w:lang w:val="nl-NL" w:eastAsia="nl-NL"/>
        </w:rPr>
        <w:t>Assignment</w:t>
      </w:r>
      <w:proofErr w:type="spellEnd"/>
      <w:r w:rsidRPr="00BB55A9">
        <w:rPr>
          <w:rFonts w:ascii="Arial" w:eastAsia="Times New Roman" w:hAnsi="Arial" w:cs="Arial"/>
          <w:b/>
          <w:color w:val="222222"/>
          <w:sz w:val="18"/>
          <w:szCs w:val="18"/>
          <w:lang w:val="nl-NL" w:eastAsia="nl-NL"/>
        </w:rPr>
        <w:t xml:space="preserve"> </w:t>
      </w:r>
      <w:proofErr w:type="spellStart"/>
      <w:r w:rsidRPr="00BB55A9">
        <w:rPr>
          <w:rFonts w:ascii="Arial" w:eastAsia="Times New Roman" w:hAnsi="Arial" w:cs="Arial"/>
          <w:b/>
          <w:color w:val="222222"/>
          <w:sz w:val="18"/>
          <w:szCs w:val="18"/>
          <w:lang w:val="nl-NL" w:eastAsia="nl-NL"/>
        </w:rPr>
        <w:t>Description</w:t>
      </w:r>
      <w:proofErr w:type="spellEnd"/>
      <w:r w:rsidRPr="00BB55A9">
        <w:rPr>
          <w:rFonts w:ascii="Arial" w:eastAsia="Times New Roman" w:hAnsi="Arial" w:cs="Arial"/>
          <w:b/>
          <w:color w:val="222222"/>
          <w:sz w:val="18"/>
          <w:szCs w:val="18"/>
          <w:lang w:val="nl-NL" w:eastAsia="nl-NL"/>
        </w:rPr>
        <w:t xml:space="preserve"> </w:t>
      </w:r>
    </w:p>
    <w:p w:rsidR="00BB55A9" w:rsidRDefault="00BB55A9" w:rsidP="00BB55A9">
      <w:pPr>
        <w:spacing w:after="0" w:line="240" w:lineRule="auto"/>
        <w:rPr>
          <w:rFonts w:ascii="Arial" w:eastAsia="Times New Roman" w:hAnsi="Arial" w:cs="Arial"/>
          <w:color w:val="222222"/>
          <w:sz w:val="17"/>
          <w:szCs w:val="17"/>
          <w:lang w:eastAsia="nl-NL"/>
        </w:rPr>
      </w:pPr>
      <w:r w:rsidRPr="00BB55A9">
        <w:rPr>
          <w:rFonts w:ascii="Arial" w:eastAsia="Times New Roman" w:hAnsi="Arial" w:cs="Arial"/>
          <w:color w:val="222222"/>
          <w:sz w:val="17"/>
          <w:szCs w:val="17"/>
          <w:lang w:eastAsia="nl-NL"/>
        </w:rPr>
        <w:t>Terms of Reference</w:t>
      </w:r>
      <w:r w:rsidRPr="00BB55A9">
        <w:rPr>
          <w:rFonts w:ascii="Arial" w:eastAsia="Times New Roman" w:hAnsi="Arial" w:cs="Arial"/>
          <w:color w:val="222222"/>
          <w:sz w:val="17"/>
          <w:szCs w:val="17"/>
          <w:lang w:eastAsia="nl-NL"/>
        </w:rPr>
        <w:br/>
        <w:t xml:space="preserve">Assessment of Enabling Environment and Development of Public-Private Partnership (PPP) Framework in Urban Sanitation </w:t>
      </w:r>
      <w:r w:rsidRPr="00BB55A9">
        <w:rPr>
          <w:rFonts w:ascii="Arial" w:eastAsia="Times New Roman" w:hAnsi="Arial" w:cs="Arial"/>
          <w:color w:val="222222"/>
          <w:sz w:val="17"/>
          <w:szCs w:val="17"/>
          <w:lang w:eastAsia="nl-NL"/>
        </w:rPr>
        <w:br/>
      </w:r>
      <w:r w:rsidRPr="00BB55A9">
        <w:rPr>
          <w:rFonts w:ascii="Arial" w:eastAsia="Times New Roman" w:hAnsi="Arial" w:cs="Arial"/>
          <w:color w:val="222222"/>
          <w:sz w:val="17"/>
          <w:szCs w:val="17"/>
          <w:lang w:eastAsia="nl-NL"/>
        </w:rPr>
        <w:br/>
        <w:t>1. Introduction and the context</w:t>
      </w:r>
      <w:r w:rsidRPr="00BB55A9">
        <w:rPr>
          <w:rFonts w:ascii="Arial" w:eastAsia="Times New Roman" w:hAnsi="Arial" w:cs="Arial"/>
          <w:color w:val="222222"/>
          <w:sz w:val="17"/>
          <w:szCs w:val="17"/>
          <w:lang w:eastAsia="nl-NL"/>
        </w:rPr>
        <w:br/>
      </w:r>
    </w:p>
    <w:p w:rsidR="00BB55A9" w:rsidRDefault="00BB55A9" w:rsidP="00BB55A9">
      <w:pPr>
        <w:spacing w:after="0" w:line="240" w:lineRule="auto"/>
        <w:rPr>
          <w:rFonts w:ascii="Arial" w:eastAsia="Times New Roman" w:hAnsi="Arial" w:cs="Arial"/>
          <w:color w:val="222222"/>
          <w:sz w:val="17"/>
          <w:szCs w:val="17"/>
          <w:lang w:eastAsia="nl-NL"/>
        </w:rPr>
      </w:pPr>
      <w:r w:rsidRPr="00BB55A9">
        <w:rPr>
          <w:rFonts w:ascii="Arial" w:eastAsia="Times New Roman" w:hAnsi="Arial" w:cs="Arial"/>
          <w:color w:val="222222"/>
          <w:sz w:val="17"/>
          <w:szCs w:val="17"/>
          <w:lang w:eastAsia="nl-NL"/>
        </w:rPr>
        <w:t>A. Introduction</w:t>
      </w:r>
      <w:r w:rsidRPr="00BB55A9">
        <w:rPr>
          <w:rFonts w:ascii="Arial" w:eastAsia="Times New Roman" w:hAnsi="Arial" w:cs="Arial"/>
          <w:color w:val="222222"/>
          <w:sz w:val="17"/>
          <w:szCs w:val="17"/>
          <w:lang w:eastAsia="nl-NL"/>
        </w:rPr>
        <w:br/>
        <w:t>The Water supply and sanitation subsector is among the focus areas that the Federal Democratic Republic of Ethiopia (FDRE) has considered among the pro poor sectors. With this understanding the World Bank is extending its support through different interventions. The World Bank Group is supporting the Federal Democratic Republic of Ethiopia to achieve its national targets set under GTP II through availing resources to different sectors and sub sectors.</w:t>
      </w:r>
      <w:r w:rsidRPr="00BB55A9">
        <w:rPr>
          <w:rFonts w:ascii="Arial" w:eastAsia="Times New Roman" w:hAnsi="Arial" w:cs="Arial"/>
          <w:color w:val="222222"/>
          <w:sz w:val="17"/>
          <w:szCs w:val="17"/>
          <w:lang w:eastAsia="nl-NL"/>
        </w:rPr>
        <w:br/>
        <w:t xml:space="preserve">One of the major interventions of the World Bank is the support extended to improve the services delivery in Addis Ababa and 22 secondary towns under the Second Urban Water Supply and Sanitation Project (SUWSSP). Implementation of the project is an opportunity to improve sanitation services delivery and water supply in Addis Ababa and in the secondary and regional towns. This project is a logical continuation of the Ethiopian Urban Water Supply and Sanitation project which was closed in December 2017. Unlike the prior projects the SUWSSP has a wider perspective of reaching different segment of the community by adopting City Wide Inclusive Sanitation (CWIS) approach. The model provides opportunity to start with understanding the context, planning for cost effective solution, and consultation with end users. Except Addis Ababa, all project beneficiary towns had limited experience of delivering sanitation focused project and their current staffing for sanitation is also limited. </w:t>
      </w:r>
      <w:r w:rsidRPr="00BB55A9">
        <w:rPr>
          <w:rFonts w:ascii="Arial" w:eastAsia="Times New Roman" w:hAnsi="Arial" w:cs="Arial"/>
          <w:color w:val="222222"/>
          <w:sz w:val="17"/>
          <w:szCs w:val="17"/>
          <w:lang w:eastAsia="nl-NL"/>
        </w:rPr>
        <w:br/>
        <w:t xml:space="preserve">The SUWSSP has three major components (i) Addis Ababa sanitation and operational efficiency improvement, (ii) Secondary cities and towns sanitation, water supply, and operational efficiency improvement, and (iii) Program management (Federal and regional level). The first two components further divided into three sub-components focusing on sanitation services improvement, water utilities performance improvement and utility modernization and institutional capacity strengthening. </w:t>
      </w:r>
      <w:r w:rsidRPr="00BB55A9">
        <w:rPr>
          <w:rFonts w:ascii="Arial" w:eastAsia="Times New Roman" w:hAnsi="Arial" w:cs="Arial"/>
          <w:color w:val="222222"/>
          <w:sz w:val="17"/>
          <w:szCs w:val="17"/>
          <w:lang w:eastAsia="nl-NL"/>
        </w:rPr>
        <w:br/>
        <w:t>With the current operational experience, the role of private sector is limited to consultancy, contractor (works contract), and supplier and the sector has very limited experience in PPP. Since few years back government has developed employment generation scheme through organizing and providing training, to unemployed youths and women. They often contribute some amount of fund to startup the business and get additional loan from Micro-finance institutions. This has been attempted in Addis Ababa and secondary towns. The level of success is dependent on the technical support and amount of income they are generating as well as the enabling environment that does exist at each town. In both the private sector and the small and micro enterprises, the entry point and the enabling environment for the PPP require further review and improvement. The SUWSSP is committed to support the sector through, review current practice, identify gaps and develop framework for enhanced private sector participation including the small and micro enterprises.</w:t>
      </w:r>
      <w:r w:rsidRPr="00BB55A9">
        <w:rPr>
          <w:rFonts w:ascii="Arial" w:eastAsia="Times New Roman" w:hAnsi="Arial" w:cs="Arial"/>
          <w:color w:val="222222"/>
          <w:sz w:val="17"/>
          <w:szCs w:val="17"/>
          <w:lang w:eastAsia="nl-NL"/>
        </w:rPr>
        <w:br/>
        <w:t xml:space="preserve">The other major Water Supply and Sanitation Project (also referred to as Consolidated WASH Account (CWA) is a flagship </w:t>
      </w:r>
      <w:r w:rsidRPr="00BB55A9">
        <w:rPr>
          <w:rFonts w:ascii="Arial" w:eastAsia="Times New Roman" w:hAnsi="Arial" w:cs="Arial"/>
          <w:color w:val="222222"/>
          <w:sz w:val="17"/>
          <w:szCs w:val="17"/>
          <w:lang w:eastAsia="nl-NL"/>
        </w:rPr>
        <w:lastRenderedPageBreak/>
        <w:t xml:space="preserve">program of the subsector that focuses on rural and small towns. The CWA jointly pools funding of several development partners, including DFID, The African Development Bank, UNICEF and the Government of Finland. The CWA program has been active since 2014 and is currently implemented in 382 rural districts, 124 small towns and 20 medium towns. The project has three components: (i) rural water supply, sanitation and hygiene; (ii) urban water supply, sanitation and hygiene; and (iii) Project Management Monitoring and Evaluation. The CWA program concluded a Mid-Term Review in August 2017 that assessed progress and challenges in program implementation. One of the main findings, highlighted inadequate attention for sanitation. </w:t>
      </w:r>
      <w:r w:rsidRPr="00BB55A9">
        <w:rPr>
          <w:rFonts w:ascii="Arial" w:eastAsia="Times New Roman" w:hAnsi="Arial" w:cs="Arial"/>
          <w:color w:val="222222"/>
          <w:sz w:val="17"/>
          <w:szCs w:val="17"/>
          <w:lang w:eastAsia="nl-NL"/>
        </w:rPr>
        <w:br/>
        <w:t xml:space="preserve">The WSSP-CWA is actively supporting implementation of the governments One </w:t>
      </w:r>
      <w:proofErr w:type="spellStart"/>
      <w:r w:rsidRPr="00BB55A9">
        <w:rPr>
          <w:rFonts w:ascii="Arial" w:eastAsia="Times New Roman" w:hAnsi="Arial" w:cs="Arial"/>
          <w:color w:val="222222"/>
          <w:sz w:val="17"/>
          <w:szCs w:val="17"/>
          <w:lang w:eastAsia="nl-NL"/>
        </w:rPr>
        <w:t>WaSH</w:t>
      </w:r>
      <w:proofErr w:type="spellEnd"/>
      <w:r w:rsidRPr="00BB55A9">
        <w:rPr>
          <w:rFonts w:ascii="Arial" w:eastAsia="Times New Roman" w:hAnsi="Arial" w:cs="Arial"/>
          <w:color w:val="222222"/>
          <w:sz w:val="17"/>
          <w:szCs w:val="17"/>
          <w:lang w:eastAsia="nl-NL"/>
        </w:rPr>
        <w:t xml:space="preserve"> Program in rural, small and selected medium towns. CWA is designed with a wide range of interventions including rural and urban sanitation, where a wide range of opportunities are available for the Public- Private Partnership (PPP), provide system is in place. The WSSP-CWA is also seeking to address challenges in urban sanitation (small towns) to utilize a common framework to enhance private sector participation and provide explore access to finance to enable urban households and small localities to develop or upgrade their existing sanitation services. </w:t>
      </w:r>
      <w:r w:rsidRPr="00BB55A9">
        <w:rPr>
          <w:rFonts w:ascii="Arial" w:eastAsia="Times New Roman" w:hAnsi="Arial" w:cs="Arial"/>
          <w:color w:val="222222"/>
          <w:sz w:val="17"/>
          <w:szCs w:val="17"/>
          <w:lang w:eastAsia="nl-NL"/>
        </w:rPr>
        <w:br/>
      </w:r>
    </w:p>
    <w:p w:rsidR="00BB55A9" w:rsidRPr="00BB55A9" w:rsidRDefault="00BB55A9" w:rsidP="00BB55A9">
      <w:pPr>
        <w:spacing w:after="0" w:line="240" w:lineRule="auto"/>
        <w:rPr>
          <w:rFonts w:ascii="Arial" w:eastAsia="Times New Roman" w:hAnsi="Arial" w:cs="Arial"/>
          <w:color w:val="222222"/>
          <w:sz w:val="17"/>
          <w:szCs w:val="17"/>
          <w:lang w:val="nl-NL" w:eastAsia="nl-NL"/>
        </w:rPr>
      </w:pPr>
      <w:r w:rsidRPr="00BB55A9">
        <w:rPr>
          <w:rFonts w:ascii="Arial" w:eastAsia="Times New Roman" w:hAnsi="Arial" w:cs="Arial"/>
          <w:color w:val="222222"/>
          <w:sz w:val="17"/>
          <w:szCs w:val="17"/>
          <w:lang w:eastAsia="nl-NL"/>
        </w:rPr>
        <w:t>B. The context</w:t>
      </w:r>
      <w:r w:rsidRPr="00BB55A9">
        <w:rPr>
          <w:rFonts w:ascii="Arial" w:eastAsia="Times New Roman" w:hAnsi="Arial" w:cs="Arial"/>
          <w:color w:val="222222"/>
          <w:sz w:val="17"/>
          <w:szCs w:val="17"/>
          <w:lang w:eastAsia="nl-NL"/>
        </w:rPr>
        <w:br/>
        <w:t xml:space="preserve">Ethiopian urban centers are increasing in number, population size and economic value as well. The urban population growth is estimated to be around 3.8% that implies less than fifteen years of doubling time. The urban housing development program, industrial parks, and other initiatives have continued to contribute to the rapid growth that is observed. The development is demanding additional infrastructure development both for water supply and sanitation. Economic growth has its implication on the demand for better livelihood that in turn demands for improved and cost-effective services. </w:t>
      </w:r>
      <w:r w:rsidRPr="00BB55A9">
        <w:rPr>
          <w:rFonts w:ascii="Arial" w:eastAsia="Times New Roman" w:hAnsi="Arial" w:cs="Arial"/>
          <w:color w:val="222222"/>
          <w:sz w:val="17"/>
          <w:szCs w:val="17"/>
          <w:lang w:eastAsia="nl-NL"/>
        </w:rPr>
        <w:br/>
        <w:t xml:space="preserve">Urban Water Supply and Sanitation development is among the priority interventions under the ongoing government Second Growth and Transformation Plan (GTP II). Accordingly, the government has a plan to carry out assessment, feasibility study and design for sewerage expansion at least in the six secondary towns . Sanitation problem remain complicated and overshadowed with other development issues. Access rate for improved sanitation facilities for urban stand at 50.5% out of which about 37% is pit latrine with and without slab (EDHS, 2016). The proportion of urban people that have access to pour flush or flush toilet being improved or unimproved is only about 12%. None of the town are yet able to manage free of open defecation. About 97.3% of urban resident get water supply from improved sources, out of which 76.8% is getting water on premises (DHS, 2016). </w:t>
      </w:r>
      <w:r w:rsidRPr="00BB55A9">
        <w:rPr>
          <w:rFonts w:ascii="Arial" w:eastAsia="Times New Roman" w:hAnsi="Arial" w:cs="Arial"/>
          <w:color w:val="222222"/>
          <w:sz w:val="17"/>
          <w:szCs w:val="17"/>
          <w:lang w:eastAsia="nl-NL"/>
        </w:rPr>
        <w:br/>
        <w:t xml:space="preserve">Sanitation does not have clear home as it is highlighted in a number of studies, and financial resource allocated for sanitation is also limited compared to the problem on ground. Assessment made in ten towns provides information that the roles and responsibilities of different institutions those are providing services is not well coordinated and aligned for the demand. The planning for sanitation is neither integrated nor comprehensive to look into the entire value chain and different components of sanitation. The role of the formal private sector is limited to activities related to construction of sanitation facilities, supply of imported materials; dislodging using mechanical tools and manual dislodging in very limited area. PPP is seldom heard off and not well practiced. Recent developments of outsourcing some minor operational activities to Small and Micro enterprises (SMEs) may be used as an entry point. Addis Ababa and secondary towns have started to construct more public latrines at public sites and market areas. The management of public latrines have been outsourced to organized women and youth as part of job creation scheme. Willing and unemployed women and youths have been organized by the SMEs of respective </w:t>
      </w:r>
      <w:proofErr w:type="spellStart"/>
      <w:r w:rsidRPr="00BB55A9">
        <w:rPr>
          <w:rFonts w:ascii="Arial" w:eastAsia="Times New Roman" w:hAnsi="Arial" w:cs="Arial"/>
          <w:color w:val="222222"/>
          <w:sz w:val="17"/>
          <w:szCs w:val="17"/>
          <w:lang w:eastAsia="nl-NL"/>
        </w:rPr>
        <w:t>kebeles</w:t>
      </w:r>
      <w:proofErr w:type="spellEnd"/>
      <w:r w:rsidRPr="00BB55A9">
        <w:rPr>
          <w:rFonts w:ascii="Arial" w:eastAsia="Times New Roman" w:hAnsi="Arial" w:cs="Arial"/>
          <w:color w:val="222222"/>
          <w:sz w:val="17"/>
          <w:szCs w:val="17"/>
          <w:lang w:eastAsia="nl-NL"/>
        </w:rPr>
        <w:t xml:space="preserve"> (sub-districts) to get access to funding from saving and credit associations, as funding mechanism. Often, these groups sign agreements with the water utilities or municipalities to manage the latrines with cost recovery principle. All are not successful in generating income for various reasons. They have however the potential to grow to sound private service providers. The challenge and opportunities need to be looked in depth. </w:t>
      </w:r>
      <w:r w:rsidRPr="00BB55A9">
        <w:rPr>
          <w:rFonts w:ascii="Arial" w:eastAsia="Times New Roman" w:hAnsi="Arial" w:cs="Arial"/>
          <w:color w:val="222222"/>
          <w:sz w:val="17"/>
          <w:szCs w:val="17"/>
          <w:lang w:eastAsia="nl-NL"/>
        </w:rPr>
        <w:br/>
        <w:t>Most towns in the country do not have engineered treatment site for fecal sludge and it is often dumped at agricultural field, available gorge nearby town serve as a dumping site without any prior treatment and taking issue of the health hazard. This act is against the constitution of the country and different policies (health policy (1993), water resources management policy (1999). PPP arrangements can be an effective solution, when Government is not capable of running the service and transparent and accountable systems are in place. The global practice Vietnam (Build Operate and Transfer approach for treatment), Durban South Africa (Sludge removal and treatment) Senegal (Sludge removal) are notable experiences.</w:t>
      </w:r>
      <w:r w:rsidRPr="00BB55A9">
        <w:rPr>
          <w:rFonts w:ascii="Arial" w:eastAsia="Times New Roman" w:hAnsi="Arial" w:cs="Arial"/>
          <w:color w:val="222222"/>
          <w:sz w:val="17"/>
          <w:szCs w:val="17"/>
          <w:lang w:eastAsia="nl-NL"/>
        </w:rPr>
        <w:br/>
        <w:t xml:space="preserve">The government of Ethiopia has issued a policy framework that guide identification process of feasible project for PPP, the process for approval and structure, selection of the private partner, award procedures, signing and monitoring of implementation . The policy also made roles and responsibilities clear and established a unit under the Ministry of Finance and Economic Cooperation (MOFEC), which is currently developing a detailed guideline for PPP. Though it is at early stage, it will provide a framework to work to the analysis and the team of consultants are expected to review the policy and align the recommendation with the framework. </w:t>
      </w:r>
      <w:r w:rsidRPr="00BB55A9">
        <w:rPr>
          <w:rFonts w:ascii="Arial" w:eastAsia="Times New Roman" w:hAnsi="Arial" w:cs="Arial"/>
          <w:color w:val="222222"/>
          <w:sz w:val="17"/>
          <w:szCs w:val="17"/>
          <w:lang w:eastAsia="nl-NL"/>
        </w:rPr>
        <w:br/>
        <w:t xml:space="preserve">The World Bank (WB) and other development partners have given emphasis in supporting clients through developing knowledge products and range of tools that help developing countries in Africa, Asia and LAC. As part of this Global initiatives the WB Water Global Solution Group (GSG) is currently working on Scaling up City wide inclusive sanitation Technical Assistance (TA). The project has two main focuses (i) Global Knowledge and Strategic support that is working towards develop analytical work on CWIS and promote the CWIS approach and (ii) National engagement that provide support to selected project teams in Africa, Asia and LAC working to incorporate the principles of CWIS in their urban sanitation operations through country-specific studies and technical assistance. </w:t>
      </w:r>
      <w:proofErr w:type="spellStart"/>
      <w:r w:rsidRPr="00BB55A9">
        <w:rPr>
          <w:rFonts w:ascii="Arial" w:eastAsia="Times New Roman" w:hAnsi="Arial" w:cs="Arial"/>
          <w:color w:val="222222"/>
          <w:sz w:val="17"/>
          <w:szCs w:val="17"/>
          <w:lang w:val="nl-NL" w:eastAsia="nl-NL"/>
        </w:rPr>
        <w:t>This</w:t>
      </w:r>
      <w:proofErr w:type="spellEnd"/>
      <w:r w:rsidRPr="00BB55A9">
        <w:rPr>
          <w:rFonts w:ascii="Arial" w:eastAsia="Times New Roman" w:hAnsi="Arial" w:cs="Arial"/>
          <w:color w:val="222222"/>
          <w:sz w:val="17"/>
          <w:szCs w:val="17"/>
          <w:lang w:val="nl-NL" w:eastAsia="nl-NL"/>
        </w:rPr>
        <w:t xml:space="preserve"> </w:t>
      </w:r>
      <w:proofErr w:type="spellStart"/>
      <w:r w:rsidRPr="00BB55A9">
        <w:rPr>
          <w:rFonts w:ascii="Arial" w:eastAsia="Times New Roman" w:hAnsi="Arial" w:cs="Arial"/>
          <w:color w:val="222222"/>
          <w:sz w:val="17"/>
          <w:szCs w:val="17"/>
          <w:lang w:val="nl-NL" w:eastAsia="nl-NL"/>
        </w:rPr>
        <w:t>assignment</w:t>
      </w:r>
      <w:proofErr w:type="spellEnd"/>
      <w:r w:rsidRPr="00BB55A9">
        <w:rPr>
          <w:rFonts w:ascii="Arial" w:eastAsia="Times New Roman" w:hAnsi="Arial" w:cs="Arial"/>
          <w:color w:val="222222"/>
          <w:sz w:val="17"/>
          <w:szCs w:val="17"/>
          <w:lang w:val="nl-NL" w:eastAsia="nl-NL"/>
        </w:rPr>
        <w:t xml:space="preserve"> is pa</w:t>
      </w:r>
    </w:p>
    <w:p w:rsidR="00BB55A9" w:rsidRDefault="00BB55A9" w:rsidP="00BB55A9">
      <w:pPr>
        <w:spacing w:after="0" w:line="240" w:lineRule="auto"/>
        <w:rPr>
          <w:rFonts w:ascii="Arial" w:eastAsia="Times New Roman" w:hAnsi="Arial" w:cs="Arial"/>
          <w:color w:val="222222"/>
          <w:sz w:val="18"/>
          <w:szCs w:val="18"/>
          <w:lang w:val="nl-NL" w:eastAsia="nl-NL"/>
        </w:rPr>
      </w:pPr>
    </w:p>
    <w:p w:rsidR="00BB55A9" w:rsidRPr="00BB55A9" w:rsidRDefault="00BB55A9" w:rsidP="00BB55A9">
      <w:pPr>
        <w:spacing w:after="0" w:line="240" w:lineRule="auto"/>
        <w:rPr>
          <w:rFonts w:ascii="Arial" w:eastAsia="Times New Roman" w:hAnsi="Arial" w:cs="Arial"/>
          <w:b/>
          <w:color w:val="222222"/>
          <w:sz w:val="18"/>
          <w:szCs w:val="18"/>
          <w:lang w:val="nl-NL" w:eastAsia="nl-NL"/>
        </w:rPr>
      </w:pPr>
      <w:proofErr w:type="spellStart"/>
      <w:r w:rsidRPr="00BB55A9">
        <w:rPr>
          <w:rFonts w:ascii="Arial" w:eastAsia="Times New Roman" w:hAnsi="Arial" w:cs="Arial"/>
          <w:b/>
          <w:color w:val="222222"/>
          <w:sz w:val="18"/>
          <w:szCs w:val="18"/>
          <w:lang w:val="nl-NL" w:eastAsia="nl-NL"/>
        </w:rPr>
        <w:t>Qualification</w:t>
      </w:r>
      <w:proofErr w:type="spellEnd"/>
      <w:r w:rsidRPr="00BB55A9">
        <w:rPr>
          <w:rFonts w:ascii="Arial" w:eastAsia="Times New Roman" w:hAnsi="Arial" w:cs="Arial"/>
          <w:b/>
          <w:color w:val="222222"/>
          <w:sz w:val="18"/>
          <w:szCs w:val="18"/>
          <w:lang w:val="nl-NL" w:eastAsia="nl-NL"/>
        </w:rPr>
        <w:t xml:space="preserve"> Criteria </w:t>
      </w:r>
    </w:p>
    <w:p w:rsidR="00BB55A9" w:rsidRPr="00BB55A9" w:rsidRDefault="00BB55A9" w:rsidP="00BB55A9">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BB55A9">
        <w:rPr>
          <w:rFonts w:ascii="Arial" w:eastAsia="Times New Roman" w:hAnsi="Arial" w:cs="Arial"/>
          <w:b/>
          <w:bCs/>
          <w:color w:val="222222"/>
          <w:sz w:val="18"/>
          <w:szCs w:val="18"/>
          <w:lang w:eastAsia="nl-NL"/>
        </w:rPr>
        <w:t>1.</w:t>
      </w:r>
      <w:r w:rsidRPr="00BB55A9">
        <w:rPr>
          <w:rFonts w:ascii="Arial" w:eastAsia="Times New Roman" w:hAnsi="Arial" w:cs="Arial"/>
          <w:color w:val="222222"/>
          <w:sz w:val="18"/>
          <w:szCs w:val="18"/>
          <w:lang w:eastAsia="nl-NL"/>
        </w:rPr>
        <w:t xml:space="preserve"> Provide information showing that they are qualified in the field of the assignment. </w:t>
      </w:r>
      <w:r w:rsidRPr="00BB55A9">
        <w:rPr>
          <w:rFonts w:ascii="Arial" w:eastAsia="Times New Roman" w:hAnsi="Arial" w:cs="Arial"/>
          <w:color w:val="CA0002"/>
          <w:sz w:val="18"/>
          <w:szCs w:val="18"/>
          <w:lang w:val="nl-NL" w:eastAsia="nl-NL"/>
        </w:rPr>
        <w:t>*</w:t>
      </w:r>
    </w:p>
    <w:p w:rsidR="00BB55A9" w:rsidRPr="00BB55A9" w:rsidRDefault="00BB55A9" w:rsidP="00BB55A9">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BB55A9">
        <w:rPr>
          <w:rFonts w:ascii="Arial" w:eastAsia="Times New Roman" w:hAnsi="Arial" w:cs="Arial"/>
          <w:b/>
          <w:bCs/>
          <w:color w:val="222222"/>
          <w:sz w:val="18"/>
          <w:szCs w:val="18"/>
          <w:lang w:eastAsia="nl-NL"/>
        </w:rPr>
        <w:lastRenderedPageBreak/>
        <w:t>2.</w:t>
      </w:r>
      <w:r w:rsidRPr="00BB55A9">
        <w:rPr>
          <w:rFonts w:ascii="Arial" w:eastAsia="Times New Roman" w:hAnsi="Arial" w:cs="Arial"/>
          <w:color w:val="222222"/>
          <w:sz w:val="18"/>
          <w:szCs w:val="18"/>
          <w:lang w:eastAsia="nl-NL"/>
        </w:rPr>
        <w:t xml:space="preserve"> Provide information on the technical and managerial capabilities of the firm. </w:t>
      </w:r>
      <w:r w:rsidRPr="00BB55A9">
        <w:rPr>
          <w:rFonts w:ascii="Arial" w:eastAsia="Times New Roman" w:hAnsi="Arial" w:cs="Arial"/>
          <w:color w:val="CA0002"/>
          <w:sz w:val="18"/>
          <w:szCs w:val="18"/>
          <w:lang w:val="nl-NL" w:eastAsia="nl-NL"/>
        </w:rPr>
        <w:t>*</w:t>
      </w:r>
    </w:p>
    <w:p w:rsidR="00BB55A9" w:rsidRPr="00BB55A9" w:rsidRDefault="00BB55A9" w:rsidP="00BB55A9">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BB55A9">
        <w:rPr>
          <w:rFonts w:ascii="Arial" w:eastAsia="Times New Roman" w:hAnsi="Arial" w:cs="Arial"/>
          <w:b/>
          <w:bCs/>
          <w:color w:val="222222"/>
          <w:sz w:val="18"/>
          <w:szCs w:val="18"/>
          <w:lang w:eastAsia="nl-NL"/>
        </w:rPr>
        <w:t>3.</w:t>
      </w:r>
      <w:r w:rsidRPr="00BB55A9">
        <w:rPr>
          <w:rFonts w:ascii="Arial" w:eastAsia="Times New Roman" w:hAnsi="Arial" w:cs="Arial"/>
          <w:color w:val="222222"/>
          <w:sz w:val="18"/>
          <w:szCs w:val="18"/>
          <w:lang w:eastAsia="nl-NL"/>
        </w:rPr>
        <w:t xml:space="preserve"> Provide information on their core business and years in business. </w:t>
      </w:r>
      <w:r w:rsidRPr="00BB55A9">
        <w:rPr>
          <w:rFonts w:ascii="Arial" w:eastAsia="Times New Roman" w:hAnsi="Arial" w:cs="Arial"/>
          <w:color w:val="CA0002"/>
          <w:sz w:val="18"/>
          <w:szCs w:val="18"/>
          <w:lang w:val="nl-NL" w:eastAsia="nl-NL"/>
        </w:rPr>
        <w:t>*</w:t>
      </w:r>
    </w:p>
    <w:p w:rsidR="00BB55A9" w:rsidRPr="00BB55A9" w:rsidRDefault="00BB55A9" w:rsidP="00BB55A9">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BB55A9">
        <w:rPr>
          <w:rFonts w:ascii="Arial" w:eastAsia="Times New Roman" w:hAnsi="Arial" w:cs="Arial"/>
          <w:b/>
          <w:bCs/>
          <w:color w:val="222222"/>
          <w:sz w:val="18"/>
          <w:szCs w:val="18"/>
          <w:lang w:eastAsia="nl-NL"/>
        </w:rPr>
        <w:t>4.</w:t>
      </w:r>
      <w:r w:rsidRPr="00BB55A9">
        <w:rPr>
          <w:rFonts w:ascii="Arial" w:eastAsia="Times New Roman" w:hAnsi="Arial" w:cs="Arial"/>
          <w:color w:val="222222"/>
          <w:sz w:val="18"/>
          <w:szCs w:val="18"/>
          <w:lang w:eastAsia="nl-NL"/>
        </w:rPr>
        <w:t xml:space="preserve"> Provide information on the qualifications of key staff. </w:t>
      </w:r>
      <w:r w:rsidRPr="00BB55A9">
        <w:rPr>
          <w:rFonts w:ascii="Arial" w:eastAsia="Times New Roman" w:hAnsi="Arial" w:cs="Arial"/>
          <w:color w:val="CA0002"/>
          <w:sz w:val="18"/>
          <w:szCs w:val="18"/>
          <w:lang w:val="nl-NL" w:eastAsia="nl-NL"/>
        </w:rPr>
        <w:t>*</w:t>
      </w:r>
    </w:p>
    <w:p w:rsidR="00BB55A9" w:rsidRPr="00BB55A9" w:rsidRDefault="00BB55A9" w:rsidP="00BB55A9">
      <w:pPr>
        <w:spacing w:after="0" w:line="240" w:lineRule="auto"/>
        <w:rPr>
          <w:rFonts w:ascii="Arial" w:eastAsia="Times New Roman" w:hAnsi="Arial" w:cs="Arial"/>
          <w:i/>
          <w:iCs/>
          <w:color w:val="222222"/>
          <w:sz w:val="16"/>
          <w:szCs w:val="16"/>
          <w:lang w:val="nl-NL" w:eastAsia="nl-NL"/>
        </w:rPr>
      </w:pPr>
      <w:r w:rsidRPr="00BB55A9">
        <w:rPr>
          <w:rFonts w:ascii="Arial" w:eastAsia="Times New Roman" w:hAnsi="Arial" w:cs="Arial"/>
          <w:i/>
          <w:iCs/>
          <w:color w:val="CA0002"/>
          <w:sz w:val="16"/>
          <w:szCs w:val="16"/>
          <w:lang w:val="nl-NL" w:eastAsia="nl-NL"/>
        </w:rPr>
        <w:t xml:space="preserve">* - </w:t>
      </w:r>
      <w:proofErr w:type="spellStart"/>
      <w:r w:rsidRPr="00BB55A9">
        <w:rPr>
          <w:rFonts w:ascii="Arial" w:eastAsia="Times New Roman" w:hAnsi="Arial" w:cs="Arial"/>
          <w:i/>
          <w:iCs/>
          <w:color w:val="CA0002"/>
          <w:sz w:val="16"/>
          <w:szCs w:val="16"/>
          <w:lang w:val="nl-NL" w:eastAsia="nl-NL"/>
        </w:rPr>
        <w:t>Mandatory</w:t>
      </w:r>
      <w:proofErr w:type="spellEnd"/>
    </w:p>
    <w:p w:rsidR="00895661" w:rsidRPr="00B902C5" w:rsidRDefault="00895661" w:rsidP="00BB55A9">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0AC2753"/>
    <w:multiLevelType w:val="multilevel"/>
    <w:tmpl w:val="930C9C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0FC754A"/>
    <w:multiLevelType w:val="multilevel"/>
    <w:tmpl w:val="C1881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8611FF5"/>
    <w:multiLevelType w:val="multilevel"/>
    <w:tmpl w:val="63EEF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5A9"/>
    <w:rsid w:val="00895661"/>
    <w:rsid w:val="00B902C5"/>
    <w:rsid w:val="00BB55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8C17C1"/>
  <w15:chartTrackingRefBased/>
  <w15:docId w15:val="{88C54B7D-E92E-49EF-8602-7E639AB0D8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11461688">
      <w:bodyDiv w:val="1"/>
      <w:marLeft w:val="0"/>
      <w:marRight w:val="0"/>
      <w:marTop w:val="0"/>
      <w:marBottom w:val="0"/>
      <w:divBdr>
        <w:top w:val="none" w:sz="0" w:space="0" w:color="auto"/>
        <w:left w:val="none" w:sz="0" w:space="0" w:color="auto"/>
        <w:bottom w:val="none" w:sz="0" w:space="0" w:color="auto"/>
        <w:right w:val="none" w:sz="0" w:space="0" w:color="auto"/>
      </w:divBdr>
      <w:divsChild>
        <w:div w:id="861434012">
          <w:marLeft w:val="0"/>
          <w:marRight w:val="0"/>
          <w:marTop w:val="0"/>
          <w:marBottom w:val="0"/>
          <w:divBdr>
            <w:top w:val="none" w:sz="0" w:space="0" w:color="auto"/>
            <w:left w:val="none" w:sz="0" w:space="0" w:color="auto"/>
            <w:bottom w:val="none" w:sz="0" w:space="0" w:color="auto"/>
            <w:right w:val="none" w:sz="0" w:space="0" w:color="auto"/>
          </w:divBdr>
          <w:divsChild>
            <w:div w:id="897478692">
              <w:marLeft w:val="0"/>
              <w:marRight w:val="0"/>
              <w:marTop w:val="0"/>
              <w:marBottom w:val="0"/>
              <w:divBdr>
                <w:top w:val="none" w:sz="0" w:space="0" w:color="auto"/>
                <w:left w:val="none" w:sz="0" w:space="0" w:color="auto"/>
                <w:bottom w:val="none" w:sz="0" w:space="0" w:color="auto"/>
                <w:right w:val="none" w:sz="0" w:space="0" w:color="auto"/>
              </w:divBdr>
              <w:divsChild>
                <w:div w:id="2058357275">
                  <w:marLeft w:val="0"/>
                  <w:marRight w:val="0"/>
                  <w:marTop w:val="0"/>
                  <w:marBottom w:val="0"/>
                  <w:divBdr>
                    <w:top w:val="none" w:sz="0" w:space="0" w:color="auto"/>
                    <w:left w:val="none" w:sz="0" w:space="0" w:color="auto"/>
                    <w:bottom w:val="none" w:sz="0" w:space="0" w:color="auto"/>
                    <w:right w:val="none" w:sz="0" w:space="0" w:color="auto"/>
                  </w:divBdr>
                  <w:divsChild>
                    <w:div w:id="1719358334">
                      <w:marLeft w:val="0"/>
                      <w:marRight w:val="0"/>
                      <w:marTop w:val="0"/>
                      <w:marBottom w:val="0"/>
                      <w:divBdr>
                        <w:top w:val="single" w:sz="6" w:space="6" w:color="999999"/>
                        <w:left w:val="single" w:sz="6" w:space="30" w:color="999999"/>
                        <w:bottom w:val="single" w:sz="6" w:space="0" w:color="999999"/>
                        <w:right w:val="single" w:sz="6" w:space="0" w:color="999999"/>
                      </w:divBdr>
                    </w:div>
                    <w:div w:id="155995318">
                      <w:marLeft w:val="0"/>
                      <w:marRight w:val="0"/>
                      <w:marTop w:val="300"/>
                      <w:marBottom w:val="0"/>
                      <w:divBdr>
                        <w:top w:val="none" w:sz="0" w:space="0" w:color="auto"/>
                        <w:left w:val="none" w:sz="0" w:space="0" w:color="auto"/>
                        <w:bottom w:val="none" w:sz="0" w:space="0" w:color="auto"/>
                        <w:right w:val="none" w:sz="0" w:space="0" w:color="auto"/>
                      </w:divBdr>
                      <w:divsChild>
                        <w:div w:id="1052197328">
                          <w:marLeft w:val="0"/>
                          <w:marRight w:val="0"/>
                          <w:marTop w:val="0"/>
                          <w:marBottom w:val="0"/>
                          <w:divBdr>
                            <w:top w:val="none" w:sz="0" w:space="0" w:color="auto"/>
                            <w:left w:val="none" w:sz="0" w:space="0" w:color="auto"/>
                            <w:bottom w:val="none" w:sz="0" w:space="0" w:color="auto"/>
                            <w:right w:val="none" w:sz="0" w:space="0" w:color="auto"/>
                          </w:divBdr>
                          <w:divsChild>
                            <w:div w:id="877468432">
                              <w:marLeft w:val="0"/>
                              <w:marRight w:val="0"/>
                              <w:marTop w:val="0"/>
                              <w:marBottom w:val="0"/>
                              <w:divBdr>
                                <w:top w:val="none" w:sz="0" w:space="0" w:color="auto"/>
                                <w:left w:val="none" w:sz="0" w:space="0" w:color="auto"/>
                                <w:bottom w:val="none" w:sz="0" w:space="0" w:color="auto"/>
                                <w:right w:val="none" w:sz="0" w:space="0" w:color="auto"/>
                              </w:divBdr>
                            </w:div>
                          </w:divsChild>
                        </w:div>
                        <w:div w:id="864370778">
                          <w:marLeft w:val="0"/>
                          <w:marRight w:val="0"/>
                          <w:marTop w:val="0"/>
                          <w:marBottom w:val="0"/>
                          <w:divBdr>
                            <w:top w:val="none" w:sz="0" w:space="0" w:color="auto"/>
                            <w:left w:val="none" w:sz="0" w:space="0" w:color="auto"/>
                            <w:bottom w:val="none" w:sz="0" w:space="0" w:color="auto"/>
                            <w:right w:val="none" w:sz="0" w:space="0" w:color="auto"/>
                          </w:divBdr>
                          <w:divsChild>
                            <w:div w:id="1754930936">
                              <w:marLeft w:val="0"/>
                              <w:marRight w:val="0"/>
                              <w:marTop w:val="0"/>
                              <w:marBottom w:val="0"/>
                              <w:divBdr>
                                <w:top w:val="none" w:sz="0" w:space="0" w:color="auto"/>
                                <w:left w:val="none" w:sz="0" w:space="0" w:color="auto"/>
                                <w:bottom w:val="none" w:sz="0" w:space="0" w:color="auto"/>
                                <w:right w:val="none" w:sz="0" w:space="0" w:color="auto"/>
                              </w:divBdr>
                            </w:div>
                          </w:divsChild>
                        </w:div>
                        <w:div w:id="1232423258">
                          <w:marLeft w:val="0"/>
                          <w:marRight w:val="0"/>
                          <w:marTop w:val="0"/>
                          <w:marBottom w:val="0"/>
                          <w:divBdr>
                            <w:top w:val="none" w:sz="0" w:space="0" w:color="auto"/>
                            <w:left w:val="none" w:sz="0" w:space="0" w:color="auto"/>
                            <w:bottom w:val="none" w:sz="0" w:space="0" w:color="auto"/>
                            <w:right w:val="none" w:sz="0" w:space="0" w:color="auto"/>
                          </w:divBdr>
                          <w:divsChild>
                            <w:div w:id="1581521593">
                              <w:marLeft w:val="0"/>
                              <w:marRight w:val="0"/>
                              <w:marTop w:val="0"/>
                              <w:marBottom w:val="0"/>
                              <w:divBdr>
                                <w:top w:val="none" w:sz="0" w:space="0" w:color="auto"/>
                                <w:left w:val="none" w:sz="0" w:space="0" w:color="auto"/>
                                <w:bottom w:val="none" w:sz="0" w:space="0" w:color="auto"/>
                                <w:right w:val="none" w:sz="0" w:space="0" w:color="auto"/>
                              </w:divBdr>
                            </w:div>
                          </w:divsChild>
                        </w:div>
                        <w:div w:id="1145198720">
                          <w:marLeft w:val="0"/>
                          <w:marRight w:val="0"/>
                          <w:marTop w:val="0"/>
                          <w:marBottom w:val="0"/>
                          <w:divBdr>
                            <w:top w:val="none" w:sz="0" w:space="0" w:color="auto"/>
                            <w:left w:val="none" w:sz="0" w:space="0" w:color="auto"/>
                            <w:bottom w:val="none" w:sz="0" w:space="0" w:color="auto"/>
                            <w:right w:val="none" w:sz="0" w:space="0" w:color="auto"/>
                          </w:divBdr>
                          <w:divsChild>
                            <w:div w:id="673460019">
                              <w:marLeft w:val="0"/>
                              <w:marRight w:val="0"/>
                              <w:marTop w:val="0"/>
                              <w:marBottom w:val="0"/>
                              <w:divBdr>
                                <w:top w:val="none" w:sz="0" w:space="0" w:color="auto"/>
                                <w:left w:val="none" w:sz="0" w:space="0" w:color="auto"/>
                                <w:bottom w:val="none" w:sz="0" w:space="0" w:color="auto"/>
                                <w:right w:val="none" w:sz="0" w:space="0" w:color="auto"/>
                              </w:divBdr>
                            </w:div>
                          </w:divsChild>
                        </w:div>
                        <w:div w:id="873612493">
                          <w:marLeft w:val="0"/>
                          <w:marRight w:val="0"/>
                          <w:marTop w:val="0"/>
                          <w:marBottom w:val="0"/>
                          <w:divBdr>
                            <w:top w:val="none" w:sz="0" w:space="0" w:color="auto"/>
                            <w:left w:val="none" w:sz="0" w:space="0" w:color="auto"/>
                            <w:bottom w:val="none" w:sz="0" w:space="0" w:color="auto"/>
                            <w:right w:val="none" w:sz="0" w:space="0" w:color="auto"/>
                          </w:divBdr>
                          <w:divsChild>
                            <w:div w:id="1534608947">
                              <w:marLeft w:val="0"/>
                              <w:marRight w:val="0"/>
                              <w:marTop w:val="0"/>
                              <w:marBottom w:val="0"/>
                              <w:divBdr>
                                <w:top w:val="none" w:sz="0" w:space="0" w:color="auto"/>
                                <w:left w:val="none" w:sz="0" w:space="0" w:color="auto"/>
                                <w:bottom w:val="none" w:sz="0" w:space="0" w:color="auto"/>
                                <w:right w:val="none" w:sz="0" w:space="0" w:color="auto"/>
                              </w:divBdr>
                            </w:div>
                          </w:divsChild>
                        </w:div>
                        <w:div w:id="106121675">
                          <w:marLeft w:val="0"/>
                          <w:marRight w:val="0"/>
                          <w:marTop w:val="0"/>
                          <w:marBottom w:val="0"/>
                          <w:divBdr>
                            <w:top w:val="none" w:sz="0" w:space="0" w:color="auto"/>
                            <w:left w:val="none" w:sz="0" w:space="0" w:color="auto"/>
                            <w:bottom w:val="none" w:sz="0" w:space="0" w:color="auto"/>
                            <w:right w:val="none" w:sz="0" w:space="0" w:color="auto"/>
                          </w:divBdr>
                          <w:divsChild>
                            <w:div w:id="58214775">
                              <w:marLeft w:val="0"/>
                              <w:marRight w:val="0"/>
                              <w:marTop w:val="0"/>
                              <w:marBottom w:val="0"/>
                              <w:divBdr>
                                <w:top w:val="none" w:sz="0" w:space="0" w:color="auto"/>
                                <w:left w:val="none" w:sz="0" w:space="0" w:color="auto"/>
                                <w:bottom w:val="none" w:sz="0" w:space="0" w:color="auto"/>
                                <w:right w:val="none" w:sz="0" w:space="0" w:color="auto"/>
                              </w:divBdr>
                            </w:div>
                          </w:divsChild>
                        </w:div>
                        <w:div w:id="410859334">
                          <w:marLeft w:val="0"/>
                          <w:marRight w:val="0"/>
                          <w:marTop w:val="0"/>
                          <w:marBottom w:val="0"/>
                          <w:divBdr>
                            <w:top w:val="none" w:sz="0" w:space="0" w:color="auto"/>
                            <w:left w:val="none" w:sz="0" w:space="0" w:color="auto"/>
                            <w:bottom w:val="none" w:sz="0" w:space="0" w:color="auto"/>
                            <w:right w:val="none" w:sz="0" w:space="0" w:color="auto"/>
                          </w:divBdr>
                          <w:divsChild>
                            <w:div w:id="2087191776">
                              <w:marLeft w:val="0"/>
                              <w:marRight w:val="0"/>
                              <w:marTop w:val="0"/>
                              <w:marBottom w:val="0"/>
                              <w:divBdr>
                                <w:top w:val="none" w:sz="0" w:space="0" w:color="auto"/>
                                <w:left w:val="none" w:sz="0" w:space="0" w:color="auto"/>
                                <w:bottom w:val="none" w:sz="0" w:space="0" w:color="auto"/>
                                <w:right w:val="none" w:sz="0" w:space="0" w:color="auto"/>
                              </w:divBdr>
                            </w:div>
                          </w:divsChild>
                        </w:div>
                        <w:div w:id="1028410315">
                          <w:marLeft w:val="0"/>
                          <w:marRight w:val="0"/>
                          <w:marTop w:val="0"/>
                          <w:marBottom w:val="0"/>
                          <w:divBdr>
                            <w:top w:val="none" w:sz="0" w:space="0" w:color="auto"/>
                            <w:left w:val="none" w:sz="0" w:space="0" w:color="auto"/>
                            <w:bottom w:val="none" w:sz="0" w:space="0" w:color="auto"/>
                            <w:right w:val="none" w:sz="0" w:space="0" w:color="auto"/>
                          </w:divBdr>
                          <w:divsChild>
                            <w:div w:id="4522389">
                              <w:marLeft w:val="0"/>
                              <w:marRight w:val="0"/>
                              <w:marTop w:val="0"/>
                              <w:marBottom w:val="0"/>
                              <w:divBdr>
                                <w:top w:val="none" w:sz="0" w:space="0" w:color="auto"/>
                                <w:left w:val="none" w:sz="0" w:space="0" w:color="auto"/>
                                <w:bottom w:val="none" w:sz="0" w:space="0" w:color="auto"/>
                                <w:right w:val="none" w:sz="0" w:space="0" w:color="auto"/>
                              </w:divBdr>
                            </w:div>
                          </w:divsChild>
                        </w:div>
                        <w:div w:id="868833365">
                          <w:marLeft w:val="0"/>
                          <w:marRight w:val="0"/>
                          <w:marTop w:val="0"/>
                          <w:marBottom w:val="0"/>
                          <w:divBdr>
                            <w:top w:val="none" w:sz="0" w:space="0" w:color="auto"/>
                            <w:left w:val="none" w:sz="0" w:space="0" w:color="auto"/>
                            <w:bottom w:val="none" w:sz="0" w:space="0" w:color="auto"/>
                            <w:right w:val="none" w:sz="0" w:space="0" w:color="auto"/>
                          </w:divBdr>
                          <w:divsChild>
                            <w:div w:id="1225991338">
                              <w:marLeft w:val="0"/>
                              <w:marRight w:val="0"/>
                              <w:marTop w:val="0"/>
                              <w:marBottom w:val="0"/>
                              <w:divBdr>
                                <w:top w:val="none" w:sz="0" w:space="0" w:color="auto"/>
                                <w:left w:val="none" w:sz="0" w:space="0" w:color="auto"/>
                                <w:bottom w:val="none" w:sz="0" w:space="0" w:color="auto"/>
                                <w:right w:val="none" w:sz="0" w:space="0" w:color="auto"/>
                              </w:divBdr>
                            </w:div>
                          </w:divsChild>
                        </w:div>
                        <w:div w:id="635061486">
                          <w:marLeft w:val="0"/>
                          <w:marRight w:val="0"/>
                          <w:marTop w:val="0"/>
                          <w:marBottom w:val="0"/>
                          <w:divBdr>
                            <w:top w:val="none" w:sz="0" w:space="0" w:color="auto"/>
                            <w:left w:val="none" w:sz="0" w:space="0" w:color="auto"/>
                            <w:bottom w:val="none" w:sz="0" w:space="0" w:color="auto"/>
                            <w:right w:val="none" w:sz="0" w:space="0" w:color="auto"/>
                          </w:divBdr>
                          <w:divsChild>
                            <w:div w:id="1459491539">
                              <w:marLeft w:val="0"/>
                              <w:marRight w:val="0"/>
                              <w:marTop w:val="0"/>
                              <w:marBottom w:val="0"/>
                              <w:divBdr>
                                <w:top w:val="none" w:sz="0" w:space="0" w:color="auto"/>
                                <w:left w:val="none" w:sz="0" w:space="0" w:color="auto"/>
                                <w:bottom w:val="none" w:sz="0" w:space="0" w:color="auto"/>
                                <w:right w:val="none" w:sz="0" w:space="0" w:color="auto"/>
                              </w:divBdr>
                            </w:div>
                          </w:divsChild>
                        </w:div>
                        <w:div w:id="1121342239">
                          <w:marLeft w:val="0"/>
                          <w:marRight w:val="0"/>
                          <w:marTop w:val="0"/>
                          <w:marBottom w:val="0"/>
                          <w:divBdr>
                            <w:top w:val="none" w:sz="0" w:space="0" w:color="auto"/>
                            <w:left w:val="none" w:sz="0" w:space="0" w:color="auto"/>
                            <w:bottom w:val="none" w:sz="0" w:space="0" w:color="auto"/>
                            <w:right w:val="none" w:sz="0" w:space="0" w:color="auto"/>
                          </w:divBdr>
                          <w:divsChild>
                            <w:div w:id="1850102902">
                              <w:marLeft w:val="0"/>
                              <w:marRight w:val="0"/>
                              <w:marTop w:val="0"/>
                              <w:marBottom w:val="0"/>
                              <w:divBdr>
                                <w:top w:val="none" w:sz="0" w:space="0" w:color="auto"/>
                                <w:left w:val="none" w:sz="0" w:space="0" w:color="auto"/>
                                <w:bottom w:val="none" w:sz="0" w:space="0" w:color="auto"/>
                                <w:right w:val="none" w:sz="0" w:space="0" w:color="auto"/>
                              </w:divBdr>
                            </w:div>
                          </w:divsChild>
                        </w:div>
                        <w:div w:id="2088845014">
                          <w:marLeft w:val="0"/>
                          <w:marRight w:val="0"/>
                          <w:marTop w:val="0"/>
                          <w:marBottom w:val="0"/>
                          <w:divBdr>
                            <w:top w:val="none" w:sz="0" w:space="0" w:color="auto"/>
                            <w:left w:val="none" w:sz="0" w:space="0" w:color="auto"/>
                            <w:bottom w:val="none" w:sz="0" w:space="0" w:color="auto"/>
                            <w:right w:val="none" w:sz="0" w:space="0" w:color="auto"/>
                          </w:divBdr>
                          <w:divsChild>
                            <w:div w:id="1744331890">
                              <w:marLeft w:val="0"/>
                              <w:marRight w:val="0"/>
                              <w:marTop w:val="0"/>
                              <w:marBottom w:val="0"/>
                              <w:divBdr>
                                <w:top w:val="none" w:sz="0" w:space="0" w:color="auto"/>
                                <w:left w:val="none" w:sz="0" w:space="0" w:color="auto"/>
                                <w:bottom w:val="none" w:sz="0" w:space="0" w:color="auto"/>
                                <w:right w:val="none" w:sz="0" w:space="0" w:color="auto"/>
                              </w:divBdr>
                            </w:div>
                          </w:divsChild>
                        </w:div>
                        <w:div w:id="1129128481">
                          <w:marLeft w:val="0"/>
                          <w:marRight w:val="0"/>
                          <w:marTop w:val="0"/>
                          <w:marBottom w:val="0"/>
                          <w:divBdr>
                            <w:top w:val="none" w:sz="0" w:space="0" w:color="auto"/>
                            <w:left w:val="none" w:sz="0" w:space="0" w:color="auto"/>
                            <w:bottom w:val="none" w:sz="0" w:space="0" w:color="auto"/>
                            <w:right w:val="none" w:sz="0" w:space="0" w:color="auto"/>
                          </w:divBdr>
                        </w:div>
                        <w:div w:id="778062233">
                          <w:marLeft w:val="0"/>
                          <w:marRight w:val="0"/>
                          <w:marTop w:val="0"/>
                          <w:marBottom w:val="0"/>
                          <w:divBdr>
                            <w:top w:val="none" w:sz="0" w:space="0" w:color="auto"/>
                            <w:left w:val="none" w:sz="0" w:space="0" w:color="auto"/>
                            <w:bottom w:val="none" w:sz="0" w:space="0" w:color="auto"/>
                            <w:right w:val="none" w:sz="0" w:space="0" w:color="auto"/>
                          </w:divBdr>
                          <w:divsChild>
                            <w:div w:id="572663823">
                              <w:marLeft w:val="0"/>
                              <w:marRight w:val="0"/>
                              <w:marTop w:val="0"/>
                              <w:marBottom w:val="0"/>
                              <w:divBdr>
                                <w:top w:val="none" w:sz="0" w:space="0" w:color="auto"/>
                                <w:left w:val="none" w:sz="0" w:space="0" w:color="auto"/>
                                <w:bottom w:val="none" w:sz="0" w:space="0" w:color="auto"/>
                                <w:right w:val="none" w:sz="0" w:space="0" w:color="auto"/>
                              </w:divBdr>
                            </w:div>
                            <w:div w:id="13864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1702</Words>
  <Characters>9361</Characters>
  <Application>Microsoft Office Word</Application>
  <DocSecurity>0</DocSecurity>
  <Lines>78</Lines>
  <Paragraphs>22</Paragraphs>
  <ScaleCrop>false</ScaleCrop>
  <Company>Ministerie van Buitenlandse Zaken</Company>
  <LinksUpToDate>false</LinksUpToDate>
  <CharactersWithSpaces>11041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2018-12-04T15:16:00Z</dcterms:created>
  <dcterms:modified xsi:type="dcterms:W3CDTF">2018-12-04T15:17:00Z</dcterms:modified>
</cp:coreProperties>
</file>