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Arial" w:cs="Arial" w:hAnsi="Arial" w:eastAsia="Arial"/>
          <w:b w:val="1"/>
          <w:bCs w:val="1"/>
          <w:color w:val="212121"/>
          <w:sz w:val="36"/>
          <w:szCs w:val="36"/>
          <w:shd w:val="clear" w:color="auto" w:fill="d3e5fc"/>
          <w:rtl w:val="0"/>
        </w:rPr>
      </w:pPr>
      <w:r>
        <w:rPr>
          <w:rFonts w:ascii="Arial" w:hAnsi="Arial"/>
          <w:b w:val="1"/>
          <w:bCs w:val="1"/>
          <w:color w:val="212121"/>
          <w:sz w:val="36"/>
          <w:szCs w:val="36"/>
          <w:shd w:val="clear" w:color="auto" w:fill="d3e5fc"/>
          <w:rtl w:val="0"/>
          <w:lang w:val="en-US"/>
        </w:rPr>
        <w:t>R</w:t>
      </w:r>
      <w:r>
        <w:rPr>
          <w:rFonts w:ascii="Arial" w:hAnsi="Arial"/>
          <w:b w:val="1"/>
          <w:bCs w:val="1"/>
          <w:color w:val="212121"/>
          <w:sz w:val="36"/>
          <w:szCs w:val="36"/>
          <w:shd w:val="clear" w:color="auto" w:fill="d3e5fc"/>
          <w:rtl w:val="0"/>
          <w:lang w:val="en-US"/>
        </w:rPr>
        <w:t>equest for expression of interest for selection # 1260172</w:t>
      </w:r>
    </w:p>
    <w:p>
      <w:pPr>
        <w:pStyle w:val="Default"/>
        <w:bidi w:val="0"/>
        <w:ind w:left="0" w:right="0" w:firstLine="0"/>
        <w:jc w:val="left"/>
        <w:rPr>
          <w:rFonts w:ascii="Arial" w:cs="Arial" w:hAnsi="Arial" w:eastAsia="Arial"/>
          <w:color w:val="ca0001"/>
          <w:sz w:val="26"/>
          <w:szCs w:val="26"/>
          <w:shd w:val="clear" w:color="auto" w:fill="ffffff"/>
          <w:rtl w:val="0"/>
        </w:rPr>
      </w:pP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Merchant Acquisition and Management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27-Nov-2018</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18-Dec-2018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TZ - Tanzania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BB - BANK BUDGET</w:t>
      </w:r>
    </w:p>
    <w:p>
      <w:pPr>
        <w:pStyle w:val="Default"/>
        <w:numPr>
          <w:ilvl w:val="0"/>
          <w:numId w:val="2"/>
        </w:numPr>
        <w:bidi w:val="0"/>
        <w:ind w:right="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TF019043 - FIG - Africa - CCA</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International Finance Corporation (IFC), the private sector arm of the World Bank Group (WBG), fosters sustainable economic growth in developing countries by financing private sector investment, mobilizing private capital in local and international financial markets, and providing advisory and risk mitigation services to businesses and governments.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IFCs program in Tanzania is supporting MFS market development through: 1- agent network management, 2- customer acquisition for mobile money, 3- merchant acquisitions, 4- customer acquisition for merchants, and 5- agent/merchant distribution management platform.</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key objective of the project in Tanzania is to promote financial inclusion, by increasing access to mobile money and by digitizing payments to merchants. Although mobile money access has improved in Tanzania, levels of usage of digital financial services, including payments, in general remains low. To address this challenge and offer a mass market payment solution, IFC and its partner, a mobile network operator, are building on a merchant proposition to increase the number of merchants offering the product and increase customer usage of the product. This project will build capacity and improve performance of the MNO in creating a sustainable and vibrant mobile money ecosystem in Tanzania.</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IFC and the MNO seek to promote the use of the merchant payment solution across Tanzania and recruit a firm that will enroll, train and monitor effectively merchants as well as drive customers usage. The purpose of these terms of reference (ToR) is to describe the requirements for the firm.</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For the purposes of this ToR, the following terms shall be defined as follows: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Merchant Payment Solution: The merchant payment solution is provided by the MNO and the firm is to enroll</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Merchant: Any business that accepts the solution as payment.</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Firm Types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be responsible of the following activities: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1. Recruitment and activation of Merchant Payment acceptors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This activity consists of:</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Prospecting, segmenting, and recruiting Merchant Payment acceptors within defined ecosystem and regions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Collecting for each recruited partner the documentation required for the creation of a Merchant Payment account and forwarding it to the MNO in due form</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Training and activating partners and businesses recruited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Supporting Merchant Payment marketing/promotional activities and ensuring that materials are displayed as recommended by MNO</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2. Follow-up, after-sales service and development of the businesses recruited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also have the mission of maintaining acceptors recruited through:</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Daily visits of the Merchant Payment acceptors to update the training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Permanent support (processing various requests and assistance)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Operational implementation of promotional campaigns with merchants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Monitoring of performance vs objectives daily report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Setting new targets based on performance weekly report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Gathering qualitative feedback through interviews to ensure that standards are met and to propose improvements to the solution weekly support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Award rewards - weekly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3. Supervision role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be responsible for:</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Organizing its teams and establishing weekly roadmaps consistent with the assigned objectives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Performing due diligence to motivate and commit acquiring teams to the achievement of objectives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Ensuring that all of its acquiring team members are active and work towards their assigned goals on a daily basis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Regular training of its teams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Ensuring the management of mobile money: help Merchant Payment acceptors to withdraw the collected funds as needed</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4. Reporting and Expected Targets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Reporting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report its performance in the format recommended by the MNO. The firm will have to produce:</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daily report on Day + 1 covering recruitment, training, and visits made. The report should also highlight the difficulties encountered and the number of active agents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weekly report, sent each Monday morning, presenting a summary of weekly performances as well as difficulties encountered and qualitative recommendations to improve the solution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 monthly report, summarizing the monthly performance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is responsible for the accuracy and timely transmission of reports, fraud cases, and the misconduct of its agents. The firm must be available for a performance review with the MNO and IFC on a weekly basis and also for a strategic monthly review.</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Scope of work and expected targets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have quantitative and qualitative targets summarized below:</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Suggested quantitative targets (to be finalized upon recruitment of the firm):</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Recruitment and activation of payment acceptors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Ensure that all the merchants recruited remain active and operational throughout the month (% active)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Achieve network performance objectives (number and amount of transactions)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Qualitative objectives (to be finalized upon recruitment of the firm):</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Number of visits carried out, in relation to the objectives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Quality of support and assistance (regular training of partners, feedback and follow-up of trainings, etc.)</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Delivery and display of marketing and promotional materials, benchmark feedback from the field.</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Acceptor qualitative reports on a weekly basis</w:t>
      </w: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firm will be supported by the IFC and the MNO teams which will provide guidance as well as information and the introductions needed to fulfill the mission. The firm will report to designated focal points at the MNO and IFC. The contract will be for a period of 6 months after signature.</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1.</w:t>
      </w:r>
      <w:r>
        <w:rPr>
          <w:rFonts w:ascii="Arial" w:hAnsi="Arial"/>
          <w:color w:val="212121"/>
          <w:sz w:val="24"/>
          <w:szCs w:val="24"/>
          <w:shd w:val="clear" w:color="auto" w:fill="ffffff"/>
          <w:rtl w:val="0"/>
          <w:lang w:val="en-US"/>
        </w:rPr>
        <w:t xml:space="preserve"> At least 5 years experience in customer/merchant acquisition activities in Sub-Saharan Africa</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2.</w:t>
      </w:r>
      <w:r>
        <w:rPr>
          <w:rFonts w:ascii="Arial" w:hAnsi="Arial"/>
          <w:color w:val="212121"/>
          <w:sz w:val="24"/>
          <w:szCs w:val="24"/>
          <w:shd w:val="clear" w:color="auto" w:fill="ffffff"/>
          <w:rtl w:val="0"/>
          <w:lang w:val="en-US"/>
        </w:rPr>
        <w:t xml:space="preserve"> Senior team members with extensive experience in commercial development, mobile money ecosystem creation and monitoring and pool of experienced staff to complete the operation</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3.</w:t>
      </w:r>
      <w:r>
        <w:rPr>
          <w:rFonts w:ascii="Arial" w:hAnsi="Arial"/>
          <w:color w:val="212121"/>
          <w:sz w:val="24"/>
          <w:szCs w:val="24"/>
          <w:shd w:val="clear" w:color="auto" w:fill="ffffff"/>
          <w:rtl w:val="0"/>
          <w:lang w:val="en-US"/>
        </w:rPr>
        <w:t xml:space="preserve"> Demonstrated ability to mobilize and supervise a large field sales team to support this work.</w:t>
      </w:r>
    </w:p>
    <w:p>
      <w:pPr>
        <w:pStyle w:val="Default"/>
        <w:numPr>
          <w:ilvl w:val="0"/>
          <w:numId w:val="3"/>
        </w:numPr>
        <w:bidi w:val="0"/>
        <w:ind w:right="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4.</w:t>
      </w:r>
      <w:r>
        <w:rPr>
          <w:rFonts w:ascii="Arial" w:hAnsi="Arial"/>
          <w:color w:val="212121"/>
          <w:sz w:val="24"/>
          <w:szCs w:val="24"/>
          <w:shd w:val="clear" w:color="auto" w:fill="ffffff"/>
          <w:rtl w:val="0"/>
          <w:lang w:val="en-US"/>
        </w:rPr>
        <w:t xml:space="preserve"> Good knowledge of the telecommunication and mobile money sectors in Tanzania</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1">
      <w:start w:val="1"/>
      <w:numFmt w:val="bullet"/>
      <w:suff w:val="tab"/>
      <w:lvlText w:val="•"/>
      <w:lvlJc w:val="left"/>
      <w:pPr>
        <w:ind w:left="9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2">
      <w:start w:val="1"/>
      <w:numFmt w:val="bullet"/>
      <w:suff w:val="tab"/>
      <w:lvlText w:val="•"/>
      <w:lvlJc w:val="left"/>
      <w:pPr>
        <w:ind w:left="11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3">
      <w:start w:val="1"/>
      <w:numFmt w:val="bullet"/>
      <w:suff w:val="tab"/>
      <w:lvlText w:val="•"/>
      <w:lvlJc w:val="left"/>
      <w:pPr>
        <w:ind w:left="13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4">
      <w:start w:val="1"/>
      <w:numFmt w:val="bullet"/>
      <w:suff w:val="tab"/>
      <w:lvlText w:val="•"/>
      <w:lvlJc w:val="left"/>
      <w:pPr>
        <w:ind w:left="160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5">
      <w:start w:val="1"/>
      <w:numFmt w:val="bullet"/>
      <w:suff w:val="tab"/>
      <w:lvlText w:val="•"/>
      <w:lvlJc w:val="left"/>
      <w:pPr>
        <w:ind w:left="182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6">
      <w:start w:val="1"/>
      <w:numFmt w:val="bullet"/>
      <w:suff w:val="tab"/>
      <w:lvlText w:val="•"/>
      <w:lvlJc w:val="left"/>
      <w:pPr>
        <w:ind w:left="204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7">
      <w:start w:val="1"/>
      <w:numFmt w:val="bullet"/>
      <w:suff w:val="tab"/>
      <w:lvlText w:val="•"/>
      <w:lvlJc w:val="left"/>
      <w:pPr>
        <w:ind w:left="226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lvl w:ilvl="8">
      <w:start w:val="1"/>
      <w:numFmt w:val="bullet"/>
      <w:suff w:val="tab"/>
      <w:lvlText w:val="•"/>
      <w:lvlJc w:val="left"/>
      <w:pPr>
        <w:ind w:left="2480" w:hanging="500"/>
      </w:pPr>
      <w:rPr>
        <w:rFonts w:ascii="Arial" w:cs="Arial" w:hAnsi="Arial" w:eastAsia="Arial"/>
        <w:b w:val="0"/>
        <w:bCs w:val="0"/>
        <w:i w:val="0"/>
        <w:iCs w:val="0"/>
        <w:caps w:val="0"/>
        <w:smallCaps w:val="0"/>
        <w:strike w:val="0"/>
        <w:dstrike w:val="0"/>
        <w:outline w:val="0"/>
        <w:emboss w:val="0"/>
        <w:imprint w:val="0"/>
        <w:color w:val="212121"/>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Arial" w:cs="Arial" w:hAnsi="Arial" w:eastAsia="Arial"/>
          <w:b w:val="1"/>
          <w:bCs w:val="1"/>
          <w:i w:val="0"/>
          <w:iCs w:val="0"/>
          <w:caps w:val="0"/>
          <w:smallCaps w:val="0"/>
          <w:strike w:val="0"/>
          <w:dstrike w:val="0"/>
          <w:outline w:val="0"/>
          <w:emboss w:val="0"/>
          <w:imprint w:val="0"/>
          <w:color w:val="212121"/>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