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Re</w:t>
      </w:r>
      <w:r>
        <w:rPr>
          <w:rFonts w:ascii="Arial" w:hAnsi="Arial"/>
          <w:b w:val="1"/>
          <w:bCs w:val="1"/>
          <w:color w:val="212121"/>
          <w:sz w:val="26"/>
          <w:szCs w:val="26"/>
          <w:shd w:val="clear" w:color="auto" w:fill="d3e5fc"/>
          <w:rtl w:val="0"/>
          <w:lang w:val="en-US"/>
        </w:rPr>
        <w:t>quest for expression of interest for selection # 1237961</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Resilience Assessment: Batoka Gorge Hydroelectric Scheme in the Zambezi River Basin</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10-Mar-2017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20-Mar-2017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ab/>
        <w:t>ZM - Zambia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TF0A0390 - AFR DRFI: Supporting Countries in Developing Risk Financing Strategies.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ab/>
        <w:t>TF011577 - Zambezi River Basin Support Program</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 detailed assessment of the effects of climate change and other performance risks such as upstream land-use changes and water abstractions, energy price fluctuations and development scenarios on the daily expected inflow for the Batoka Gorge HES is required to ensure robustness and identify risk mitigation measures. To this end, the consultancy will include: (i) an analysis that uses decision scaling techniques to examine if the technical design of the Batoka Gorge HES is robust to a range of expected changes due to climate change and other major socio-economic pressures. (ii) an investigation of the role of the Barotse Wetlands in attenuating the basins hydrological variability, including flows reaching the Batoka Gorge site; (iii) an examination of hydrological boundary conditions or trigger points for financial products that could be used to off-set hydrological risk; and (iv) related capacity building and training workshops.</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 particularly in climate and performance risk decision scaling.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Technical and managerial capabilities of the firm should reflect assignment and leverage innovative research in climate resilience and hydropower development.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Prior experience in working with multilateral organizations in a field related to the assignment.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5.</w:t>
      </w:r>
      <w:r>
        <w:rPr>
          <w:rFonts w:ascii="Arial" w:hAnsi="Arial"/>
          <w:color w:val="212121"/>
          <w:sz w:val="24"/>
          <w:szCs w:val="24"/>
          <w:shd w:val="clear" w:color="auto" w:fill="ffffff"/>
          <w:rtl w:val="0"/>
          <w:lang w:val="en-US"/>
        </w:rPr>
        <w:t xml:space="preserve"> undefined</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