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standalone="yes"?><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body>
    <w:p>
      <w:pPr>
        <w:pStyle w:val="Default"/>
        <w:bidi w:val="0"/>
        <w:ind w:left="0" w:right="0" w:firstLine="0"/>
        <w:jc w:val="left"/>
        <w:rPr>
          <w:rFonts w:ascii="Arial" w:cs="Arial" w:hAnsi="Arial" w:eastAsia="Arial"/>
          <w:b w:val="1"/>
          <w:bCs w:val="1"/>
          <w:color w:val="212121"/>
          <w:sz w:val="26"/>
          <w:szCs w:val="26"/>
          <w:shd w:val="clear" w:color="auto" w:fill="d3e5fc"/>
          <w:rtl w:val="0"/>
        </w:rPr>
      </w:pPr>
      <w:r>
        <w:rPr>
          <w:rFonts w:ascii="Arial" w:hAnsi="Arial"/>
          <w:b w:val="1"/>
          <w:bCs w:val="1"/>
          <w:color w:val="212121"/>
          <w:sz w:val="26"/>
          <w:szCs w:val="26"/>
          <w:shd w:val="clear" w:color="auto" w:fill="d3e5fc"/>
          <w:rtl w:val="0"/>
          <w:lang w:val="en-US"/>
        </w:rPr>
        <w:t>R</w:t>
      </w:r>
      <w:r>
        <w:rPr>
          <w:rFonts w:ascii="Arial" w:hAnsi="Arial"/>
          <w:b w:val="1"/>
          <w:bCs w:val="1"/>
          <w:color w:val="212121"/>
          <w:sz w:val="26"/>
          <w:szCs w:val="26"/>
          <w:shd w:val="clear" w:color="auto" w:fill="d3e5fc"/>
          <w:rtl w:val="0"/>
          <w:lang w:val="en-US"/>
        </w:rPr>
        <w:t>equest for expression of interest for selection # 1237769</w:t>
      </w:r>
    </w:p>
    <w:p>
      <w:pPr>
        <w:pStyle w:val="Default"/>
        <w:bidi w:val="0"/>
        <w:ind w:left="0" w:right="0" w:firstLine="0"/>
        <w:jc w:val="left"/>
        <w:rPr>
          <w:rFonts w:ascii="Arial" w:cs="Arial" w:hAnsi="Arial" w:eastAsia="Arial"/>
          <w:b w:val="1"/>
          <w:bCs w:val="1"/>
          <w:color w:val="212121"/>
          <w:sz w:val="28"/>
          <w:szCs w:val="28"/>
          <w:shd w:val="clear" w:color="auto" w:fill="d3e5fc"/>
          <w:rtl w:val="0"/>
        </w:rPr>
      </w:pPr>
    </w:p>
    <w:p>
      <w:pPr>
        <w:pStyle w:val="Default"/>
        <w:bidi w:val="0"/>
        <w:ind w:left="0" w:right="0" w:firstLine="0"/>
        <w:jc w:val="left"/>
        <w:rPr>
          <w:rFonts w:ascii="Arial" w:cs="Arial" w:hAnsi="Arial" w:eastAsia="Arial"/>
          <w:b w:val="1"/>
          <w:bCs w:val="1"/>
          <w:color w:val="212121"/>
          <w:sz w:val="24"/>
          <w:szCs w:val="24"/>
          <w:shd w:val="clear" w:color="auto" w:fill="ffffff"/>
          <w:rtl w:val="0"/>
        </w:rPr>
      </w:pPr>
      <w:r>
        <w:rPr>
          <w:rFonts w:ascii="Arial" w:hAnsi="Arial"/>
          <w:b w:val="1"/>
          <w:bCs w:val="1"/>
          <w:color w:val="212121"/>
          <w:sz w:val="24"/>
          <w:szCs w:val="24"/>
          <w:shd w:val="clear" w:color="auto" w:fill="ffffff"/>
          <w:rtl w:val="0"/>
          <w:lang w:val="en-US"/>
        </w:rPr>
        <w:t>Assignment Title</w:t>
      </w:r>
    </w:p>
    <w:p>
      <w:pPr>
        <w:pStyle w:val="Default"/>
        <w:bidi w:val="0"/>
        <w:ind w:left="0" w:right="0" w:firstLine="0"/>
        <w:jc w:val="left"/>
        <w:rPr>
          <w:rFonts w:ascii="Arial" w:cs="Arial" w:hAnsi="Arial" w:eastAsia="Arial"/>
          <w:b w:val="1"/>
          <w:bCs w:val="1"/>
          <w:color w:val="212121"/>
          <w:sz w:val="24"/>
          <w:szCs w:val="24"/>
          <w:shd w:val="clear" w:color="auto" w:fill="ffffff"/>
          <w:rtl w:val="0"/>
        </w:rPr>
      </w:pPr>
    </w:p>
    <w:p>
      <w:pPr>
        <w:pStyle w:val="Default"/>
        <w:bidi w:val="0"/>
        <w:ind w:left="0" w:right="0" w:firstLine="0"/>
        <w:jc w:val="left"/>
        <w:rPr>
          <w:rFonts w:ascii="Arial" w:cs="Arial" w:hAnsi="Arial" w:eastAsia="Arial"/>
          <w:color w:val="212121"/>
          <w:sz w:val="24"/>
          <w:szCs w:val="24"/>
          <w:shd w:val="clear" w:color="auto" w:fill="ffffff"/>
          <w:rtl w:val="0"/>
        </w:rPr>
      </w:pPr>
      <w:r>
        <w:rPr>
          <w:rFonts w:ascii="Arial" w:hAnsi="Arial"/>
          <w:color w:val="212121"/>
          <w:sz w:val="24"/>
          <w:szCs w:val="24"/>
          <w:shd w:val="clear" w:color="auto" w:fill="ffffff"/>
          <w:rtl w:val="0"/>
          <w:lang w:val="en-US"/>
        </w:rPr>
        <w:t>Assessment of Fertilizer Regulatory and Value Chain Environment in Myanmar</w:t>
      </w:r>
    </w:p>
    <w:p>
      <w:pPr>
        <w:pStyle w:val="Default"/>
        <w:bidi w:val="0"/>
        <w:ind w:left="0" w:right="0" w:firstLine="0"/>
        <w:jc w:val="left"/>
        <w:rPr>
          <w:rFonts w:ascii="Arial" w:cs="Arial" w:hAnsi="Arial" w:eastAsia="Arial"/>
          <w:color w:val="212121"/>
          <w:sz w:val="24"/>
          <w:szCs w:val="24"/>
          <w:shd w:val="clear" w:color="auto" w:fill="ffffff"/>
          <w:rtl w:val="0"/>
        </w:rPr>
      </w:pPr>
    </w:p>
    <w:p>
      <w:pPr>
        <w:pStyle w:val="Default"/>
        <w:bidi w:val="0"/>
        <w:ind w:left="0" w:right="0" w:firstLine="0"/>
        <w:jc w:val="left"/>
        <w:rPr>
          <w:rFonts w:ascii="Arial" w:cs="Arial" w:hAnsi="Arial" w:eastAsia="Arial"/>
          <w:b w:val="1"/>
          <w:bCs w:val="1"/>
          <w:color w:val="212121"/>
          <w:sz w:val="24"/>
          <w:szCs w:val="24"/>
          <w:shd w:val="clear" w:color="auto" w:fill="ffffff"/>
          <w:rtl w:val="0"/>
        </w:rPr>
      </w:pPr>
      <w:r>
        <w:rPr>
          <w:rFonts w:ascii="Arial" w:hAnsi="Arial"/>
          <w:b w:val="1"/>
          <w:bCs w:val="1"/>
          <w:color w:val="212121"/>
          <w:sz w:val="24"/>
          <w:szCs w:val="24"/>
          <w:shd w:val="clear" w:color="auto" w:fill="ffffff"/>
          <w:rtl w:val="0"/>
          <w:lang w:val="de-DE"/>
        </w:rPr>
        <w:t>Publication Date</w:t>
      </w:r>
    </w:p>
    <w:p>
      <w:pPr>
        <w:pStyle w:val="Default"/>
        <w:bidi w:val="0"/>
        <w:ind w:left="0" w:right="0" w:firstLine="0"/>
        <w:jc w:val="left"/>
        <w:rPr>
          <w:rFonts w:ascii="Arial" w:cs="Arial" w:hAnsi="Arial" w:eastAsia="Arial"/>
          <w:color w:val="212121"/>
          <w:sz w:val="24"/>
          <w:szCs w:val="24"/>
          <w:shd w:val="clear" w:color="auto" w:fill="ffffff"/>
          <w:rtl w:val="0"/>
        </w:rPr>
      </w:pPr>
      <w:r>
        <w:rPr>
          <w:rFonts w:ascii="Arial" w:hAnsi="Arial" w:hint="default"/>
          <w:color w:val="212121"/>
          <w:sz w:val="24"/>
          <w:szCs w:val="24"/>
          <w:shd w:val="clear" w:color="auto" w:fill="ffffff"/>
          <w:rtl w:val="0"/>
        </w:rPr>
        <w:t> </w:t>
      </w:r>
      <w:r>
        <w:rPr>
          <w:rFonts w:ascii="Arial" w:hAnsi="Arial"/>
          <w:color w:val="212121"/>
          <w:sz w:val="24"/>
          <w:szCs w:val="24"/>
          <w:shd w:val="clear" w:color="auto" w:fill="ffffff"/>
          <w:rtl w:val="0"/>
        </w:rPr>
        <w:t>08-Mar-2017</w:t>
      </w:r>
    </w:p>
    <w:p>
      <w:pPr>
        <w:pStyle w:val="Default"/>
        <w:bidi w:val="0"/>
        <w:ind w:left="0" w:right="0" w:firstLine="0"/>
        <w:jc w:val="left"/>
        <w:rPr>
          <w:rFonts w:ascii="Arial" w:cs="Arial" w:hAnsi="Arial" w:eastAsia="Arial"/>
          <w:color w:val="212121"/>
          <w:sz w:val="24"/>
          <w:szCs w:val="24"/>
          <w:shd w:val="clear" w:color="auto" w:fill="ffffff"/>
          <w:rtl w:val="0"/>
        </w:rPr>
      </w:pPr>
    </w:p>
    <w:p>
      <w:pPr>
        <w:pStyle w:val="Default"/>
        <w:bidi w:val="0"/>
        <w:ind w:left="0" w:right="0" w:firstLine="0"/>
        <w:jc w:val="left"/>
        <w:rPr>
          <w:rFonts w:ascii="Arial" w:cs="Arial" w:hAnsi="Arial" w:eastAsia="Arial"/>
          <w:b w:val="1"/>
          <w:bCs w:val="1"/>
          <w:color w:val="212121"/>
          <w:sz w:val="24"/>
          <w:szCs w:val="24"/>
          <w:shd w:val="clear" w:color="auto" w:fill="ffffff"/>
          <w:rtl w:val="0"/>
        </w:rPr>
      </w:pPr>
      <w:r>
        <w:rPr>
          <w:rFonts w:ascii="Arial" w:hAnsi="Arial"/>
          <w:b w:val="1"/>
          <w:bCs w:val="1"/>
          <w:color w:val="212121"/>
          <w:sz w:val="24"/>
          <w:szCs w:val="24"/>
          <w:shd w:val="clear" w:color="auto" w:fill="ffffff"/>
          <w:rtl w:val="0"/>
          <w:lang w:val="en-US"/>
        </w:rPr>
        <w:t>Expression of Interest Deadline</w:t>
      </w:r>
    </w:p>
    <w:p>
      <w:pPr>
        <w:pStyle w:val="Default"/>
        <w:bidi w:val="0"/>
        <w:ind w:left="0" w:right="0" w:firstLine="0"/>
        <w:jc w:val="left"/>
        <w:rPr>
          <w:rFonts w:ascii="Arial" w:cs="Arial" w:hAnsi="Arial" w:eastAsia="Arial"/>
          <w:color w:val="212121"/>
          <w:sz w:val="24"/>
          <w:szCs w:val="24"/>
          <w:shd w:val="clear" w:color="auto" w:fill="ffffff"/>
          <w:rtl w:val="0"/>
        </w:rPr>
      </w:pPr>
      <w:r>
        <w:rPr>
          <w:rFonts w:ascii="Arial" w:hAnsi="Arial" w:hint="default"/>
          <w:color w:val="212121"/>
          <w:sz w:val="24"/>
          <w:szCs w:val="24"/>
          <w:shd w:val="clear" w:color="auto" w:fill="ffffff"/>
          <w:rtl w:val="0"/>
        </w:rPr>
        <w:t> </w:t>
      </w:r>
      <w:r>
        <w:rPr>
          <w:rFonts w:ascii="Arial" w:hAnsi="Arial"/>
          <w:color w:val="212121"/>
          <w:sz w:val="24"/>
          <w:szCs w:val="24"/>
          <w:shd w:val="clear" w:color="auto" w:fill="ffffff"/>
          <w:rtl w:val="0"/>
          <w:lang w:val="en-US"/>
        </w:rPr>
        <w:t xml:space="preserve">22-Mar-2017 at 11:59:59 PM (Eastern Time </w:t>
      </w:r>
      <w:r>
        <w:rPr>
          <w:rFonts w:ascii="Arial" w:hAnsi="Arial" w:hint="default"/>
          <w:color w:val="212121"/>
          <w:sz w:val="24"/>
          <w:szCs w:val="24"/>
          <w:shd w:val="clear" w:color="auto" w:fill="ffffff"/>
          <w:rtl w:val="0"/>
        </w:rPr>
        <w:t xml:space="preserve">– </w:t>
      </w:r>
      <w:r>
        <w:rPr>
          <w:rFonts w:ascii="Arial" w:hAnsi="Arial"/>
          <w:color w:val="212121"/>
          <w:sz w:val="24"/>
          <w:szCs w:val="24"/>
          <w:shd w:val="clear" w:color="auto" w:fill="ffffff"/>
          <w:rtl w:val="0"/>
          <w:lang w:val="it-IT"/>
        </w:rPr>
        <w:t>Washington D.C.)</w:t>
      </w:r>
    </w:p>
    <w:p>
      <w:pPr>
        <w:pStyle w:val="Default"/>
        <w:bidi w:val="0"/>
        <w:ind w:left="0" w:right="0" w:firstLine="0"/>
        <w:jc w:val="left"/>
        <w:rPr>
          <w:rFonts w:ascii="Arial" w:cs="Arial" w:hAnsi="Arial" w:eastAsia="Arial"/>
          <w:color w:val="212121"/>
          <w:sz w:val="24"/>
          <w:szCs w:val="24"/>
          <w:shd w:val="clear" w:color="auto" w:fill="ffffff"/>
          <w:rtl w:val="0"/>
        </w:rPr>
      </w:pPr>
    </w:p>
    <w:p>
      <w:pPr>
        <w:pStyle w:val="Default"/>
        <w:bidi w:val="0"/>
        <w:ind w:left="0" w:right="0" w:firstLine="0"/>
        <w:jc w:val="left"/>
        <w:rPr>
          <w:rFonts w:ascii="Arial" w:cs="Arial" w:hAnsi="Arial" w:eastAsia="Arial"/>
          <w:b w:val="1"/>
          <w:bCs w:val="1"/>
          <w:color w:val="212121"/>
          <w:sz w:val="24"/>
          <w:szCs w:val="24"/>
          <w:shd w:val="clear" w:color="auto" w:fill="ffffff"/>
          <w:rtl w:val="0"/>
        </w:rPr>
      </w:pPr>
      <w:r>
        <w:rPr>
          <w:rFonts w:ascii="Arial" w:hAnsi="Arial"/>
          <w:b w:val="1"/>
          <w:bCs w:val="1"/>
          <w:color w:val="212121"/>
          <w:sz w:val="24"/>
          <w:szCs w:val="24"/>
          <w:shd w:val="clear" w:color="auto" w:fill="ffffff"/>
          <w:rtl w:val="0"/>
          <w:lang w:val="en-US"/>
        </w:rPr>
        <w:t>Language of Notice</w:t>
      </w:r>
    </w:p>
    <w:p>
      <w:pPr>
        <w:pStyle w:val="Default"/>
        <w:bidi w:val="0"/>
        <w:ind w:left="0" w:right="0" w:firstLine="0"/>
        <w:jc w:val="left"/>
        <w:rPr>
          <w:rFonts w:ascii="Arial" w:cs="Arial" w:hAnsi="Arial" w:eastAsia="Arial"/>
          <w:color w:val="212121"/>
          <w:sz w:val="24"/>
          <w:szCs w:val="24"/>
          <w:shd w:val="clear" w:color="auto" w:fill="ffffff"/>
          <w:rtl w:val="0"/>
        </w:rPr>
      </w:pPr>
      <w:r>
        <w:rPr>
          <w:rFonts w:ascii="Arial" w:hAnsi="Arial" w:hint="default"/>
          <w:color w:val="212121"/>
          <w:sz w:val="24"/>
          <w:szCs w:val="24"/>
          <w:shd w:val="clear" w:color="auto" w:fill="ffffff"/>
          <w:rtl w:val="0"/>
        </w:rPr>
        <w:t> </w:t>
      </w:r>
      <w:r>
        <w:rPr>
          <w:rFonts w:ascii="Arial" w:hAnsi="Arial"/>
          <w:color w:val="212121"/>
          <w:sz w:val="24"/>
          <w:szCs w:val="24"/>
          <w:shd w:val="clear" w:color="auto" w:fill="ffffff"/>
          <w:rtl w:val="0"/>
          <w:lang w:val="en-US"/>
        </w:rPr>
        <w:t>English</w:t>
      </w:r>
    </w:p>
    <w:p>
      <w:pPr>
        <w:pStyle w:val="Default"/>
        <w:bidi w:val="0"/>
        <w:ind w:left="0" w:right="0" w:firstLine="0"/>
        <w:jc w:val="left"/>
        <w:rPr>
          <w:rFonts w:ascii="Arial" w:cs="Arial" w:hAnsi="Arial" w:eastAsia="Arial"/>
          <w:color w:val="212121"/>
          <w:sz w:val="24"/>
          <w:szCs w:val="24"/>
          <w:rtl w:val="0"/>
        </w:rPr>
      </w:pPr>
    </w:p>
    <w:p>
      <w:pPr>
        <w:pStyle w:val="Default"/>
        <w:bidi w:val="0"/>
        <w:ind w:left="0" w:right="0" w:firstLine="0"/>
        <w:jc w:val="left"/>
        <w:rPr>
          <w:rFonts w:ascii="Arial" w:cs="Arial" w:hAnsi="Arial" w:eastAsia="Arial"/>
          <w:b w:val="1"/>
          <w:bCs w:val="1"/>
          <w:color w:val="212121"/>
          <w:sz w:val="28"/>
          <w:szCs w:val="28"/>
          <w:shd w:val="clear" w:color="auto" w:fill="d3e5fc"/>
          <w:rtl w:val="0"/>
        </w:rPr>
      </w:pPr>
      <w:r>
        <w:rPr>
          <w:rFonts w:ascii="Arial" w:hAnsi="Arial"/>
          <w:b w:val="1"/>
          <w:bCs w:val="1"/>
          <w:color w:val="212121"/>
          <w:sz w:val="28"/>
          <w:szCs w:val="28"/>
          <w:shd w:val="clear" w:color="auto" w:fill="d3e5fc"/>
          <w:rtl w:val="0"/>
          <w:lang w:val="en-US"/>
        </w:rPr>
        <w:t>Selection Notice</w:t>
      </w:r>
    </w:p>
    <w:p>
      <w:pPr>
        <w:pStyle w:val="Default"/>
        <w:bidi w:val="0"/>
        <w:ind w:left="0" w:right="0" w:firstLine="0"/>
        <w:jc w:val="left"/>
        <w:rPr>
          <w:rFonts w:ascii="Arial" w:cs="Arial" w:hAnsi="Arial" w:eastAsia="Arial"/>
          <w:b w:val="1"/>
          <w:bCs w:val="1"/>
          <w:color w:val="212121"/>
          <w:sz w:val="24"/>
          <w:szCs w:val="24"/>
          <w:shd w:val="clear" w:color="auto" w:fill="ffffff"/>
          <w:rtl w:val="0"/>
        </w:rPr>
      </w:pPr>
      <w:r>
        <w:rPr>
          <w:rFonts w:ascii="Arial" w:hAnsi="Arial"/>
          <w:b w:val="1"/>
          <w:bCs w:val="1"/>
          <w:color w:val="212121"/>
          <w:sz w:val="24"/>
          <w:szCs w:val="24"/>
          <w:shd w:val="clear" w:color="auto" w:fill="ffffff"/>
          <w:rtl w:val="0"/>
          <w:lang w:val="en-US"/>
        </w:rPr>
        <w:t>Assignment Country</w:t>
      </w:r>
    </w:p>
    <w:p>
      <w:pPr>
        <w:pStyle w:val="Default"/>
        <w:tabs>
          <w:tab w:val="left" w:pos="220"/>
          <w:tab w:val="left" w:pos="720"/>
        </w:tabs>
        <w:bidi w:val="0"/>
        <w:ind w:left="720" w:right="0" w:hanging="720"/>
        <w:jc w:val="left"/>
        <w:rPr>
          <w:rFonts w:ascii="Arial" w:cs="Arial" w:hAnsi="Arial" w:eastAsia="Arial"/>
          <w:color w:val="212121"/>
          <w:sz w:val="24"/>
          <w:szCs w:val="24"/>
          <w:shd w:val="clear" w:color="auto" w:fill="ffffff"/>
          <w:rtl w:val="0"/>
        </w:rPr>
      </w:pPr>
      <w:r>
        <w:rPr>
          <w:rFonts w:ascii="Arial" w:cs="Arial" w:hAnsi="Arial" w:eastAsia="Arial"/>
          <w:color w:val="212121"/>
          <w:sz w:val="24"/>
          <w:szCs w:val="24"/>
          <w:shd w:val="clear" w:color="auto" w:fill="ffffff"/>
          <w:rtl w:val="0"/>
        </w:rPr>
        <w:tab/>
        <w:tab/>
        <w:t>MM - Myanmar</w:t>
      </w:r>
    </w:p>
    <w:p>
      <w:pPr>
        <w:pStyle w:val="Default"/>
        <w:tabs>
          <w:tab w:val="left" w:pos="220"/>
          <w:tab w:val="left" w:pos="720"/>
        </w:tabs>
        <w:bidi w:val="0"/>
        <w:ind w:left="720" w:right="0" w:hanging="720"/>
        <w:jc w:val="left"/>
        <w:rPr>
          <w:rFonts w:ascii="Arial" w:cs="Arial" w:hAnsi="Arial" w:eastAsia="Arial"/>
          <w:color w:val="212121"/>
          <w:sz w:val="24"/>
          <w:szCs w:val="24"/>
          <w:shd w:val="clear" w:color="auto" w:fill="ffffff"/>
          <w:rtl w:val="0"/>
        </w:rPr>
      </w:pPr>
    </w:p>
    <w:p>
      <w:pPr>
        <w:pStyle w:val="Default"/>
        <w:bidi w:val="0"/>
        <w:ind w:left="0" w:right="0" w:firstLine="0"/>
        <w:jc w:val="left"/>
        <w:rPr>
          <w:rFonts w:ascii="Arial" w:cs="Arial" w:hAnsi="Arial" w:eastAsia="Arial"/>
          <w:b w:val="1"/>
          <w:bCs w:val="1"/>
          <w:color w:val="212121"/>
          <w:sz w:val="24"/>
          <w:szCs w:val="24"/>
          <w:shd w:val="clear" w:color="auto" w:fill="ffffff"/>
          <w:rtl w:val="0"/>
        </w:rPr>
      </w:pPr>
      <w:r>
        <w:rPr>
          <w:rFonts w:ascii="Arial" w:hAnsi="Arial"/>
          <w:b w:val="1"/>
          <w:bCs w:val="1"/>
          <w:color w:val="212121"/>
          <w:sz w:val="24"/>
          <w:szCs w:val="24"/>
          <w:shd w:val="clear" w:color="auto" w:fill="ffffff"/>
          <w:rtl w:val="0"/>
          <w:lang w:val="en-US"/>
        </w:rPr>
        <w:t>Funding Sources</w:t>
      </w:r>
    </w:p>
    <w:p>
      <w:pPr>
        <w:pStyle w:val="Default"/>
        <w:bidi w:val="0"/>
        <w:ind w:left="0" w:right="0" w:firstLine="0"/>
        <w:jc w:val="left"/>
        <w:rPr>
          <w:rFonts w:ascii="Arial" w:cs="Arial" w:hAnsi="Arial" w:eastAsia="Arial"/>
          <w:color w:val="212121"/>
          <w:sz w:val="24"/>
          <w:szCs w:val="24"/>
          <w:shd w:val="clear" w:color="auto" w:fill="ffffff"/>
          <w:rtl w:val="0"/>
        </w:rPr>
      </w:pPr>
      <w:r>
        <w:rPr>
          <w:rFonts w:ascii="Arial" w:hAnsi="Arial"/>
          <w:color w:val="212121"/>
          <w:sz w:val="24"/>
          <w:szCs w:val="24"/>
          <w:shd w:val="clear" w:color="auto" w:fill="ffffff"/>
          <w:rtl w:val="0"/>
          <w:lang w:val="en-US"/>
        </w:rPr>
        <w:t>The World Bank Group intends to finance the assignment/services under:</w:t>
      </w:r>
    </w:p>
    <w:p>
      <w:pPr>
        <w:pStyle w:val="Default"/>
        <w:tabs>
          <w:tab w:val="left" w:pos="220"/>
          <w:tab w:val="left" w:pos="720"/>
        </w:tabs>
        <w:bidi w:val="0"/>
        <w:ind w:left="720" w:right="0" w:hanging="720"/>
        <w:jc w:val="left"/>
        <w:rPr>
          <w:rFonts w:ascii="Arial" w:cs="Arial" w:hAnsi="Arial" w:eastAsia="Arial"/>
          <w:color w:val="212121"/>
          <w:sz w:val="24"/>
          <w:szCs w:val="24"/>
          <w:shd w:val="clear" w:color="auto" w:fill="ffffff"/>
          <w:rtl w:val="0"/>
        </w:rPr>
      </w:pPr>
      <w:r>
        <w:rPr>
          <w:rFonts w:ascii="Arial" w:cs="Arial" w:hAnsi="Arial" w:eastAsia="Arial"/>
          <w:color w:val="212121"/>
          <w:sz w:val="24"/>
          <w:szCs w:val="24"/>
          <w:shd w:val="clear" w:color="auto" w:fill="ffffff"/>
          <w:rtl w:val="0"/>
          <w:lang w:val="de-DE"/>
        </w:rPr>
        <w:tab/>
        <w:tab/>
        <w:t>BB - BANK BUDGET</w:t>
      </w:r>
    </w:p>
    <w:p>
      <w:pPr>
        <w:pStyle w:val="Default"/>
        <w:tabs>
          <w:tab w:val="left" w:pos="220"/>
          <w:tab w:val="left" w:pos="720"/>
        </w:tabs>
        <w:bidi w:val="0"/>
        <w:ind w:left="720" w:right="0" w:hanging="720"/>
        <w:jc w:val="left"/>
        <w:rPr>
          <w:rFonts w:ascii="Arial" w:cs="Arial" w:hAnsi="Arial" w:eastAsia="Arial"/>
          <w:color w:val="212121"/>
          <w:sz w:val="24"/>
          <w:szCs w:val="24"/>
          <w:shd w:val="clear" w:color="auto" w:fill="ffffff"/>
          <w:rtl w:val="0"/>
        </w:rPr>
      </w:pPr>
      <w:r>
        <w:rPr>
          <w:rFonts w:ascii="Arial" w:cs="Arial" w:hAnsi="Arial" w:eastAsia="Arial"/>
          <w:color w:val="212121"/>
          <w:sz w:val="24"/>
          <w:szCs w:val="24"/>
          <w:shd w:val="clear" w:color="auto" w:fill="ffffff"/>
          <w:rtl w:val="0"/>
        </w:rPr>
        <w:tab/>
        <w:tab/>
        <w:t>TF0A3934 - New Productivity, Income and Quality Improvement in Myanmar Agriculture Sector</w:t>
      </w:r>
    </w:p>
    <w:p>
      <w:pPr>
        <w:pStyle w:val="Default"/>
        <w:tabs>
          <w:tab w:val="left" w:pos="220"/>
          <w:tab w:val="left" w:pos="720"/>
        </w:tabs>
        <w:bidi w:val="0"/>
        <w:ind w:left="720" w:right="0" w:hanging="720"/>
        <w:jc w:val="left"/>
        <w:rPr>
          <w:rFonts w:ascii="Arial" w:cs="Arial" w:hAnsi="Arial" w:eastAsia="Arial"/>
          <w:color w:val="212121"/>
          <w:sz w:val="24"/>
          <w:szCs w:val="24"/>
          <w:shd w:val="clear" w:color="auto" w:fill="ffffff"/>
          <w:rtl w:val="0"/>
        </w:rPr>
      </w:pPr>
    </w:p>
    <w:p>
      <w:pPr>
        <w:pStyle w:val="Default"/>
        <w:bidi w:val="0"/>
        <w:ind w:left="0" w:right="0" w:firstLine="0"/>
        <w:jc w:val="left"/>
        <w:rPr>
          <w:rFonts w:ascii="Arial" w:cs="Arial" w:hAnsi="Arial" w:eastAsia="Arial"/>
          <w:b w:val="1"/>
          <w:bCs w:val="1"/>
          <w:color w:val="212121"/>
          <w:sz w:val="24"/>
          <w:szCs w:val="24"/>
          <w:shd w:val="clear" w:color="auto" w:fill="ffffff"/>
          <w:rtl w:val="0"/>
        </w:rPr>
      </w:pPr>
      <w:r>
        <w:rPr>
          <w:rFonts w:ascii="Arial" w:hAnsi="Arial"/>
          <w:b w:val="1"/>
          <w:bCs w:val="1"/>
          <w:color w:val="212121"/>
          <w:sz w:val="24"/>
          <w:szCs w:val="24"/>
          <w:shd w:val="clear" w:color="auto" w:fill="ffffff"/>
          <w:rtl w:val="0"/>
        </w:rPr>
        <w:t>Individual/Firm</w:t>
      </w:r>
    </w:p>
    <w:p>
      <w:pPr>
        <w:pStyle w:val="Default"/>
        <w:bidi w:val="0"/>
        <w:ind w:left="0" w:right="0" w:firstLine="0"/>
        <w:jc w:val="left"/>
        <w:rPr>
          <w:rFonts w:ascii="Arial" w:cs="Arial" w:hAnsi="Arial" w:eastAsia="Arial"/>
          <w:color w:val="212121"/>
          <w:sz w:val="24"/>
          <w:szCs w:val="24"/>
          <w:shd w:val="clear" w:color="auto" w:fill="ffffff"/>
          <w:rtl w:val="0"/>
        </w:rPr>
      </w:pPr>
      <w:r>
        <w:rPr>
          <w:rFonts w:ascii="Arial" w:hAnsi="Arial"/>
          <w:color w:val="212121"/>
          <w:sz w:val="24"/>
          <w:szCs w:val="24"/>
          <w:shd w:val="clear" w:color="auto" w:fill="ffffff"/>
          <w:rtl w:val="0"/>
          <w:lang w:val="en-US"/>
        </w:rPr>
        <w:t>The consultant will be a firm.</w:t>
      </w:r>
    </w:p>
    <w:p>
      <w:pPr>
        <w:pStyle w:val="Default"/>
        <w:bidi w:val="0"/>
        <w:ind w:left="0" w:right="0" w:firstLine="0"/>
        <w:jc w:val="left"/>
        <w:rPr>
          <w:rFonts w:ascii="Arial" w:cs="Arial" w:hAnsi="Arial" w:eastAsia="Arial"/>
          <w:color w:val="212121"/>
          <w:sz w:val="24"/>
          <w:szCs w:val="24"/>
          <w:rtl w:val="0"/>
        </w:rPr>
      </w:pPr>
    </w:p>
    <w:p>
      <w:pPr>
        <w:pStyle w:val="Default"/>
        <w:bidi w:val="0"/>
        <w:ind w:left="0" w:right="0" w:firstLine="0"/>
        <w:jc w:val="left"/>
        <w:rPr>
          <w:rFonts w:ascii="Arial" w:cs="Arial" w:hAnsi="Arial" w:eastAsia="Arial"/>
          <w:b w:val="1"/>
          <w:bCs w:val="1"/>
          <w:color w:val="212121"/>
          <w:sz w:val="28"/>
          <w:szCs w:val="28"/>
          <w:shd w:val="clear" w:color="auto" w:fill="d3e5fc"/>
          <w:rtl w:val="0"/>
        </w:rPr>
      </w:pPr>
      <w:r>
        <w:rPr>
          <w:rFonts w:ascii="Arial" w:hAnsi="Arial"/>
          <w:b w:val="1"/>
          <w:bCs w:val="1"/>
          <w:color w:val="212121"/>
          <w:sz w:val="28"/>
          <w:szCs w:val="28"/>
          <w:shd w:val="clear" w:color="auto" w:fill="d3e5fc"/>
          <w:rtl w:val="0"/>
          <w:lang w:val="en-US"/>
        </w:rPr>
        <w:t>Assignment Description</w:t>
      </w: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SELECTION FOR CONSULTANTS BY THE WORLD BANK GROUP</w:t>
      </w:r>
    </w:p>
    <w:p>
      <w:pPr>
        <w:pStyle w:val="Default"/>
        <w:bidi w:val="0"/>
        <w:ind w:left="0" w:right="0" w:firstLine="0"/>
        <w:jc w:val="left"/>
        <w:rPr>
          <w:rFonts w:ascii="Arial" w:cs="Arial" w:hAnsi="Arial" w:eastAsia="Arial"/>
          <w:color w:val="212121"/>
          <w:sz w:val="22"/>
          <w:szCs w:val="22"/>
          <w:rtl w:val="0"/>
        </w:rPr>
      </w:pP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REQUEST FOR EXPRESSIONS OF INTEREST</w:t>
      </w:r>
    </w:p>
    <w:p>
      <w:pPr>
        <w:pStyle w:val="Default"/>
        <w:bidi w:val="0"/>
        <w:ind w:left="0" w:right="0" w:firstLine="0"/>
        <w:jc w:val="left"/>
        <w:rPr>
          <w:rFonts w:ascii="Arial" w:cs="Arial" w:hAnsi="Arial" w:eastAsia="Arial"/>
          <w:color w:val="212121"/>
          <w:sz w:val="22"/>
          <w:szCs w:val="22"/>
          <w:rtl w:val="0"/>
        </w:rPr>
      </w:pP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Electronic Submissions through World Bank Group eConsultant2</w:t>
      </w: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de-DE"/>
        </w:rPr>
        <w:t>https://wbgeconsult2.worldbank.org/wbgec/index.html</w:t>
      </w:r>
    </w:p>
    <w:p>
      <w:pPr>
        <w:pStyle w:val="Default"/>
        <w:bidi w:val="0"/>
        <w:ind w:left="0" w:right="0" w:firstLine="0"/>
        <w:jc w:val="left"/>
        <w:rPr>
          <w:rFonts w:ascii="Arial" w:cs="Arial" w:hAnsi="Arial" w:eastAsia="Arial"/>
          <w:color w:val="212121"/>
          <w:sz w:val="22"/>
          <w:szCs w:val="22"/>
          <w:rtl w:val="0"/>
        </w:rPr>
      </w:pP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de-DE"/>
        </w:rPr>
        <w:t>ASSIGNMENT OVERVIEW</w:t>
      </w:r>
    </w:p>
    <w:p>
      <w:pPr>
        <w:pStyle w:val="Default"/>
        <w:bidi w:val="0"/>
        <w:ind w:left="0" w:right="0" w:firstLine="0"/>
        <w:jc w:val="left"/>
        <w:rPr>
          <w:rFonts w:ascii="Arial" w:cs="Arial" w:hAnsi="Arial" w:eastAsia="Arial"/>
          <w:color w:val="212121"/>
          <w:sz w:val="22"/>
          <w:szCs w:val="22"/>
          <w:rtl w:val="0"/>
        </w:rPr>
      </w:pP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Assignment Title: 1237769 - Assessment of Fertilizer Regulatory and Value Chain Environment in Myanmar</w:t>
      </w:r>
    </w:p>
    <w:p>
      <w:pPr>
        <w:pStyle w:val="Default"/>
        <w:bidi w:val="0"/>
        <w:ind w:left="0" w:right="0" w:firstLine="0"/>
        <w:jc w:val="left"/>
        <w:rPr>
          <w:rFonts w:ascii="Arial" w:cs="Arial" w:hAnsi="Arial" w:eastAsia="Arial"/>
          <w:color w:val="212121"/>
          <w:sz w:val="22"/>
          <w:szCs w:val="22"/>
          <w:rtl w:val="0"/>
        </w:rPr>
      </w:pP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Assignment Countries:</w:t>
      </w: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rPr>
        <w:t>- Myanmar</w:t>
      </w:r>
    </w:p>
    <w:p>
      <w:pPr>
        <w:pStyle w:val="Default"/>
        <w:bidi w:val="0"/>
        <w:ind w:left="0" w:right="0" w:firstLine="0"/>
        <w:jc w:val="left"/>
        <w:rPr>
          <w:rFonts w:ascii="Arial" w:cs="Arial" w:hAnsi="Arial" w:eastAsia="Arial"/>
          <w:color w:val="212121"/>
          <w:sz w:val="22"/>
          <w:szCs w:val="22"/>
          <w:rtl w:val="0"/>
        </w:rPr>
      </w:pP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de-DE"/>
        </w:rPr>
        <w:t>ASSIGNMENT DESCRIPTION</w:t>
      </w:r>
    </w:p>
    <w:p>
      <w:pPr>
        <w:pStyle w:val="Default"/>
        <w:bidi w:val="0"/>
        <w:ind w:left="0" w:right="0" w:firstLine="0"/>
        <w:jc w:val="left"/>
        <w:rPr>
          <w:rFonts w:ascii="Arial" w:cs="Arial" w:hAnsi="Arial" w:eastAsia="Arial"/>
          <w:color w:val="212121"/>
          <w:sz w:val="22"/>
          <w:szCs w:val="22"/>
          <w:rtl w:val="0"/>
        </w:rPr>
      </w:pP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 xml:space="preserve">The World Bank Group (WBG), through its Trade and Competitiveness Global Practice (T&amp;C) in the East Asia and Pacific (EAP) region, executes a range of technical assistance and advisory programs to strengthen the competitiveness of key sectors through improvements in the investment climate, and by working with key public and private sector stakeholders on quality enhancements to improve access to markets. In partnership with the Department for International Development (DFID) of the United Kingdom, the Australian Department of Foreign Affairs and Trade (DFAT), and the Government of Japan, the WBG is supporting the development of the agricultural sector of Myanmar by addressing constraints in the private sector provision of key inputs. One of the target areas of this project is to assist the government to ensure high quality fertilizers in the market with a focus on introducing risk management systems into the governments inspection and quality assurance process. </w:t>
      </w:r>
    </w:p>
    <w:p>
      <w:pPr>
        <w:pStyle w:val="Default"/>
        <w:bidi w:val="0"/>
        <w:ind w:left="0" w:right="0" w:firstLine="0"/>
        <w:jc w:val="left"/>
        <w:rPr>
          <w:rFonts w:ascii="Arial" w:cs="Arial" w:hAnsi="Arial" w:eastAsia="Arial"/>
          <w:color w:val="212121"/>
          <w:sz w:val="22"/>
          <w:szCs w:val="22"/>
          <w:rtl w:val="0"/>
        </w:rPr>
      </w:pP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 xml:space="preserve">Agriculture is a key sector in the Myanmar economy, contributing 38% to the GDP and accounting for more than 60% of the labor force. Despite its important role in the economy, agriculture productivity in Myanmar is low, a key reason why farm profits are amongst the lowest in Asia. Farmer access to and efficient use of high quality fertilizers appropriate to the soils and crops in Myanmar is essential to improved agriculture productivity. However, a key concern in Myanmar is the uncertain quality of fertilizers . The total number of different fertilizer grades is unknown and at all stakeholder levels (public and private sector and farmers), there is a low level of confidence that fertilizers are of high quality, with bag content consistent with the truth in labelling concept. </w:t>
      </w:r>
    </w:p>
    <w:p>
      <w:pPr>
        <w:pStyle w:val="Default"/>
        <w:bidi w:val="0"/>
        <w:ind w:left="0" w:right="0" w:firstLine="0"/>
        <w:jc w:val="left"/>
        <w:rPr>
          <w:rFonts w:ascii="Arial" w:cs="Arial" w:hAnsi="Arial" w:eastAsia="Arial"/>
          <w:color w:val="212121"/>
          <w:sz w:val="22"/>
          <w:szCs w:val="22"/>
          <w:rtl w:val="0"/>
        </w:rPr>
      </w:pP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The Fertilizer Law needs to be improved in order to enhance the effectiveness of fertilizer registration and licensing, as well as in risk reduction in fertilizer quality assurance. As a result of deficiencies in the public and private sector systems, there is significant scope for the presence of sub-standard fertilizer products. The government typically inspects fertilizer formulation and quality primarily at the legal entry points by lab samples rather through more targeted field inspections. Thus, identifying where the primary risks occur within the value chain, would support the development of a Risk Based Inspection System in order to increase compliance with existing rules and regulations.</w:t>
      </w:r>
    </w:p>
    <w:p>
      <w:pPr>
        <w:pStyle w:val="Default"/>
        <w:bidi w:val="0"/>
        <w:ind w:left="0" w:right="0" w:firstLine="0"/>
        <w:jc w:val="left"/>
        <w:rPr>
          <w:rFonts w:ascii="Arial" w:cs="Arial" w:hAnsi="Arial" w:eastAsia="Arial"/>
          <w:color w:val="212121"/>
          <w:sz w:val="22"/>
          <w:szCs w:val="22"/>
          <w:rtl w:val="0"/>
        </w:rPr>
      </w:pP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The fertilizer market is growing rapidly, with total use of inorganic fertilizers estimated at 1.2-1.4 million metric tons (mt) in 2015/16. There are 628 registered fertilizer importers in Myanmar (2015). Fertilizer imports, mainly from China and Thailand, account for more than 80% of supply. A number of local private sector companies are engaged in value-added fertilizer processing to achieve tailored fertilizer grades/formulations. And, the government owns (5) and operates (3) ammonia/urea fertilizer factories that supply about 150,000 200,000 mt per year of urea fertilizers for the Myanmar market. With a market-oriented policy environment, private sector investment in fertilizer supply and marketing is expected to continue to expand rapidly. Down-stream marketing of fertilizers is handled by the private sector. The number of registered distributors and retail/dealers totaled 835 and 3,200 respectively in 2015. The Land Use Department (LUD) reported that 2,071 fertilizer products are registered for sale in the country. It is noteworthy that each individual application for fertilizer import (when approved) results in a registered product. This means that each time an importer is approved to import urea (nitrogen fertilizer) that results in a new registered product.</w:t>
      </w:r>
    </w:p>
    <w:p>
      <w:pPr>
        <w:pStyle w:val="Default"/>
        <w:bidi w:val="0"/>
        <w:ind w:left="0" w:right="0" w:firstLine="0"/>
        <w:jc w:val="left"/>
        <w:rPr>
          <w:rFonts w:ascii="Arial" w:cs="Arial" w:hAnsi="Arial" w:eastAsia="Arial"/>
          <w:color w:val="212121"/>
          <w:sz w:val="22"/>
          <w:szCs w:val="22"/>
          <w:rtl w:val="0"/>
        </w:rPr>
      </w:pP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WBG is seeking to hire a Firm to conduct a regulatory and value chain assessment of the fertilizers produced, imported and sold to farmers in Myanmar, which must include, but is not limited to: (a) assessment of the overall regulatory framework (registration, licensing, etc.); (b) sector profile of producers, importers, distributors, retailers and dealers; (c) product flow (to end users) through the value chain, at formal and informal entry points, to determine where the potential risks are regarding quality, manipulation and usage of fertilizer; and d) develop a capacity building program to fortify risk management systems (public and private sector) in fertilizer quality.</w:t>
      </w:r>
    </w:p>
    <w:p>
      <w:pPr>
        <w:pStyle w:val="Default"/>
        <w:bidi w:val="0"/>
        <w:ind w:left="0" w:right="0" w:firstLine="0"/>
        <w:jc w:val="left"/>
        <w:rPr>
          <w:rFonts w:ascii="Arial" w:cs="Arial" w:hAnsi="Arial" w:eastAsia="Arial"/>
          <w:color w:val="212121"/>
          <w:sz w:val="22"/>
          <w:szCs w:val="22"/>
          <w:rtl w:val="0"/>
        </w:rPr>
      </w:pPr>
    </w:p>
    <w:p>
      <w:pPr>
        <w:pStyle w:val="Default"/>
        <w:bidi w:val="0"/>
        <w:ind w:left="0" w:right="0" w:firstLine="0"/>
        <w:jc w:val="left"/>
        <w:rPr>
          <w:rFonts w:ascii="Arial" w:cs="Arial" w:hAnsi="Arial" w:eastAsia="Arial"/>
          <w:color w:val="212121"/>
          <w:sz w:val="22"/>
          <w:szCs w:val="22"/>
          <w:shd w:val="clear" w:color="auto" w:fill="ffffff"/>
          <w:rtl w:val="0"/>
        </w:rPr>
      </w:pP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FUNDING SOURCE</w:t>
      </w:r>
    </w:p>
    <w:p>
      <w:pPr>
        <w:pStyle w:val="Default"/>
        <w:bidi w:val="0"/>
        <w:ind w:left="0" w:right="0" w:firstLine="0"/>
        <w:jc w:val="left"/>
        <w:rPr>
          <w:rFonts w:ascii="Arial" w:cs="Arial" w:hAnsi="Arial" w:eastAsia="Arial"/>
          <w:color w:val="212121"/>
          <w:sz w:val="22"/>
          <w:szCs w:val="22"/>
          <w:rtl w:val="0"/>
        </w:rPr>
      </w:pP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The World Bank Group intends to finance the assignment / services described below under the following:</w:t>
      </w: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de-DE"/>
        </w:rPr>
        <w:t>- BANK BUDGET</w:t>
      </w: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 New Productivity, Income and Quality Improvement in Myanmar Agriculture Sector</w:t>
      </w:r>
    </w:p>
    <w:p>
      <w:pPr>
        <w:pStyle w:val="Default"/>
        <w:bidi w:val="0"/>
        <w:ind w:left="0" w:right="0" w:firstLine="0"/>
        <w:jc w:val="left"/>
        <w:rPr>
          <w:rFonts w:ascii="Arial" w:cs="Arial" w:hAnsi="Arial" w:eastAsia="Arial"/>
          <w:color w:val="212121"/>
          <w:sz w:val="22"/>
          <w:szCs w:val="22"/>
          <w:rtl w:val="0"/>
        </w:rPr>
      </w:pP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da-DK"/>
        </w:rPr>
        <w:t>ELIGIBILITY</w:t>
      </w:r>
    </w:p>
    <w:p>
      <w:pPr>
        <w:pStyle w:val="Default"/>
        <w:bidi w:val="0"/>
        <w:ind w:left="0" w:right="0" w:firstLine="0"/>
        <w:jc w:val="left"/>
        <w:rPr>
          <w:rFonts w:ascii="Arial" w:cs="Arial" w:hAnsi="Arial" w:eastAsia="Arial"/>
          <w:color w:val="212121"/>
          <w:sz w:val="22"/>
          <w:szCs w:val="22"/>
          <w:rtl w:val="0"/>
        </w:rPr>
      </w:pP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Eligibility restrictions apply:</w:t>
      </w: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[Please type list of restrictions]</w:t>
      </w:r>
    </w:p>
    <w:p>
      <w:pPr>
        <w:pStyle w:val="Default"/>
        <w:bidi w:val="0"/>
        <w:ind w:left="0" w:right="0" w:firstLine="0"/>
        <w:jc w:val="left"/>
        <w:rPr>
          <w:rFonts w:ascii="Arial" w:cs="Arial" w:hAnsi="Arial" w:eastAsia="Arial"/>
          <w:color w:val="212121"/>
          <w:sz w:val="22"/>
          <w:szCs w:val="22"/>
          <w:rtl w:val="0"/>
        </w:rPr>
      </w:pP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INDIVIDUAL / FIRM PROFILE</w:t>
      </w: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 xml:space="preserve">The consultant will be a firm. </w:t>
      </w:r>
    </w:p>
    <w:p>
      <w:pPr>
        <w:pStyle w:val="Default"/>
        <w:bidi w:val="0"/>
        <w:ind w:left="0" w:right="0" w:firstLine="0"/>
        <w:jc w:val="left"/>
        <w:rPr>
          <w:rFonts w:ascii="Arial" w:cs="Arial" w:hAnsi="Arial" w:eastAsia="Arial"/>
          <w:color w:val="212121"/>
          <w:sz w:val="22"/>
          <w:szCs w:val="22"/>
          <w:rtl w:val="0"/>
        </w:rPr>
      </w:pP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de-DE"/>
        </w:rPr>
        <w:t>SUBMISSION REQUIREMENTS</w:t>
      </w: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p>
    <w:p>
      <w:pPr>
        <w:pStyle w:val="Default"/>
        <w:bidi w:val="0"/>
        <w:ind w:left="0" w:right="0" w:firstLine="0"/>
        <w:jc w:val="left"/>
        <w:rPr>
          <w:rFonts w:ascii="Arial" w:cs="Arial" w:hAnsi="Arial" w:eastAsia="Arial"/>
          <w:color w:val="212121"/>
          <w:sz w:val="22"/>
          <w:szCs w:val="22"/>
          <w:rtl w:val="0"/>
        </w:rPr>
      </w:pP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Interested firms are hereby invited to submit expressions of interest.</w:t>
      </w:r>
    </w:p>
    <w:p>
      <w:pPr>
        <w:pStyle w:val="Default"/>
        <w:bidi w:val="0"/>
        <w:ind w:left="0" w:right="0" w:firstLine="0"/>
        <w:jc w:val="left"/>
        <w:rPr>
          <w:rFonts w:ascii="Arial" w:cs="Arial" w:hAnsi="Arial" w:eastAsia="Arial"/>
          <w:color w:val="212121"/>
          <w:sz w:val="22"/>
          <w:szCs w:val="22"/>
          <w:rtl w:val="0"/>
        </w:rPr>
      </w:pP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Expressions of Interest should be submitted, in English, electronically through World Bank Group eConsultant2 (https://wbgeconsult2.worldbank.org/wbgec/index.html)</w:t>
      </w:r>
    </w:p>
    <w:p>
      <w:pPr>
        <w:pStyle w:val="Default"/>
        <w:bidi w:val="0"/>
        <w:ind w:left="0" w:right="0" w:firstLine="0"/>
        <w:jc w:val="left"/>
        <w:rPr>
          <w:rFonts w:ascii="Arial" w:cs="Arial" w:hAnsi="Arial" w:eastAsia="Arial"/>
          <w:color w:val="212121"/>
          <w:sz w:val="22"/>
          <w:szCs w:val="22"/>
          <w:rtl w:val="0"/>
        </w:rPr>
      </w:pP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NOTES</w:t>
      </w: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Following this invitation for Expression of Interest, a shortlist of qualified firms will be formally invited to submit proposals. Shortlisting and selection will be subject to the availability of funding.</w:t>
      </w:r>
    </w:p>
    <w:p>
      <w:pPr>
        <w:pStyle w:val="Default"/>
        <w:bidi w:val="0"/>
        <w:ind w:left="0" w:right="0" w:firstLine="0"/>
        <w:jc w:val="left"/>
        <w:rPr>
          <w:rFonts w:ascii="Arial" w:cs="Arial" w:hAnsi="Arial" w:eastAsia="Arial"/>
          <w:color w:val="212121"/>
          <w:sz w:val="22"/>
          <w:szCs w:val="22"/>
          <w:rtl w:val="0"/>
        </w:rPr>
      </w:pP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Only those firms which have been shortlisted will receive notification. No debrief will be provided to firms which have not been shortlisted.</w:t>
      </w:r>
    </w:p>
    <w:p>
      <w:pPr>
        <w:pStyle w:val="Default"/>
        <w:bidi w:val="0"/>
        <w:ind w:left="0" w:right="0" w:firstLine="0"/>
        <w:jc w:val="left"/>
        <w:rPr>
          <w:rFonts w:ascii="Arial" w:cs="Arial" w:hAnsi="Arial" w:eastAsia="Arial"/>
          <w:color w:val="212121"/>
          <w:sz w:val="24"/>
          <w:szCs w:val="24"/>
          <w:rtl w:val="0"/>
        </w:rPr>
      </w:pPr>
    </w:p>
    <w:p>
      <w:pPr>
        <w:pStyle w:val="Default"/>
        <w:bidi w:val="0"/>
        <w:ind w:left="0" w:right="0" w:firstLine="0"/>
        <w:jc w:val="left"/>
        <w:rPr>
          <w:rFonts w:ascii="Arial" w:cs="Arial" w:hAnsi="Arial" w:eastAsia="Arial"/>
          <w:b w:val="1"/>
          <w:bCs w:val="1"/>
          <w:color w:val="212121"/>
          <w:sz w:val="28"/>
          <w:szCs w:val="28"/>
          <w:shd w:val="clear" w:color="auto" w:fill="d3e5fc"/>
          <w:rtl w:val="0"/>
        </w:rPr>
      </w:pPr>
      <w:r>
        <w:rPr>
          <w:rFonts w:ascii="Arial" w:hAnsi="Arial"/>
          <w:b w:val="1"/>
          <w:bCs w:val="1"/>
          <w:color w:val="212121"/>
          <w:sz w:val="28"/>
          <w:szCs w:val="28"/>
          <w:shd w:val="clear" w:color="auto" w:fill="d3e5fc"/>
          <w:rtl w:val="0"/>
          <w:lang w:val="it-IT"/>
        </w:rPr>
        <w:t>Qualification Criteria</w:t>
      </w:r>
    </w:p>
    <w:p>
      <w:pPr>
        <w:pStyle w:val="Default"/>
        <w:tabs>
          <w:tab w:val="left" w:pos="220"/>
          <w:tab w:val="left" w:pos="720"/>
        </w:tabs>
        <w:bidi w:val="0"/>
        <w:ind w:left="720" w:right="0" w:hanging="720"/>
        <w:jc w:val="left"/>
        <w:rPr>
          <w:rFonts w:ascii="Arial" w:cs="Arial" w:hAnsi="Arial" w:eastAsia="Arial"/>
          <w:color w:val="212121"/>
          <w:sz w:val="24"/>
          <w:szCs w:val="24"/>
          <w:shd w:val="clear" w:color="auto" w:fill="ffffff"/>
          <w:rtl w:val="0"/>
        </w:rPr>
      </w:pPr>
      <w:r>
        <w:rPr>
          <w:rFonts w:ascii="Arial" w:cs="Arial" w:hAnsi="Arial" w:eastAsia="Arial"/>
          <w:b w:val="1"/>
          <w:bCs w:val="1"/>
          <w:color w:val="212121"/>
          <w:sz w:val="24"/>
          <w:szCs w:val="24"/>
          <w:shd w:val="clear" w:color="auto" w:fill="ffffff"/>
          <w:rtl w:val="0"/>
        </w:rPr>
        <w:tab/>
        <w:tab/>
        <w:t>1.</w:t>
      </w:r>
      <w:r>
        <w:rPr>
          <w:rFonts w:ascii="Arial" w:hAnsi="Arial"/>
          <w:color w:val="212121"/>
          <w:sz w:val="24"/>
          <w:szCs w:val="24"/>
          <w:shd w:val="clear" w:color="auto" w:fill="ffffff"/>
          <w:rtl w:val="0"/>
          <w:lang w:val="en-US"/>
        </w:rPr>
        <w:t xml:space="preserve"> Provide information showing that they are qualified in the field of the assignment.</w:t>
      </w:r>
    </w:p>
    <w:p>
      <w:pPr>
        <w:pStyle w:val="Default"/>
        <w:tabs>
          <w:tab w:val="left" w:pos="220"/>
          <w:tab w:val="left" w:pos="720"/>
        </w:tabs>
        <w:bidi w:val="0"/>
        <w:ind w:left="720" w:right="0" w:hanging="720"/>
        <w:jc w:val="left"/>
        <w:rPr>
          <w:rFonts w:ascii="Arial" w:cs="Arial" w:hAnsi="Arial" w:eastAsia="Arial"/>
          <w:color w:val="212121"/>
          <w:sz w:val="24"/>
          <w:szCs w:val="24"/>
          <w:shd w:val="clear" w:color="auto" w:fill="ffffff"/>
          <w:rtl w:val="0"/>
        </w:rPr>
      </w:pPr>
      <w:r>
        <w:rPr>
          <w:rFonts w:ascii="Arial" w:cs="Arial" w:hAnsi="Arial" w:eastAsia="Arial"/>
          <w:b w:val="1"/>
          <w:bCs w:val="1"/>
          <w:color w:val="212121"/>
          <w:sz w:val="24"/>
          <w:szCs w:val="24"/>
          <w:shd w:val="clear" w:color="auto" w:fill="ffffff"/>
          <w:rtl w:val="0"/>
        </w:rPr>
        <w:tab/>
        <w:tab/>
        <w:t>2.</w:t>
      </w:r>
      <w:r>
        <w:rPr>
          <w:rFonts w:ascii="Arial" w:hAnsi="Arial"/>
          <w:color w:val="212121"/>
          <w:sz w:val="24"/>
          <w:szCs w:val="24"/>
          <w:shd w:val="clear" w:color="auto" w:fill="ffffff"/>
          <w:rtl w:val="0"/>
          <w:lang w:val="en-US"/>
        </w:rPr>
        <w:t xml:space="preserve"> Provide information on the technical and managerial capabilities of the firm.</w:t>
      </w:r>
    </w:p>
    <w:p>
      <w:pPr>
        <w:pStyle w:val="Default"/>
        <w:tabs>
          <w:tab w:val="left" w:pos="220"/>
          <w:tab w:val="left" w:pos="720"/>
        </w:tabs>
        <w:bidi w:val="0"/>
        <w:ind w:left="720" w:right="0" w:hanging="720"/>
        <w:jc w:val="left"/>
        <w:rPr>
          <w:rFonts w:ascii="Arial" w:cs="Arial" w:hAnsi="Arial" w:eastAsia="Arial"/>
          <w:color w:val="212121"/>
          <w:sz w:val="24"/>
          <w:szCs w:val="24"/>
          <w:shd w:val="clear" w:color="auto" w:fill="ffffff"/>
          <w:rtl w:val="0"/>
        </w:rPr>
      </w:pPr>
      <w:r>
        <w:rPr>
          <w:rFonts w:ascii="Arial" w:cs="Arial" w:hAnsi="Arial" w:eastAsia="Arial"/>
          <w:b w:val="1"/>
          <w:bCs w:val="1"/>
          <w:color w:val="212121"/>
          <w:sz w:val="24"/>
          <w:szCs w:val="24"/>
          <w:shd w:val="clear" w:color="auto" w:fill="ffffff"/>
          <w:rtl w:val="0"/>
        </w:rPr>
        <w:tab/>
        <w:tab/>
        <w:t>3.</w:t>
      </w:r>
      <w:r>
        <w:rPr>
          <w:rFonts w:ascii="Arial" w:hAnsi="Arial"/>
          <w:color w:val="212121"/>
          <w:sz w:val="24"/>
          <w:szCs w:val="24"/>
          <w:shd w:val="clear" w:color="auto" w:fill="ffffff"/>
          <w:rtl w:val="0"/>
          <w:lang w:val="en-US"/>
        </w:rPr>
        <w:t xml:space="preserve"> Provide information on their core business and years in business.</w:t>
      </w:r>
    </w:p>
    <w:p>
      <w:pPr>
        <w:pStyle w:val="Default"/>
        <w:tabs>
          <w:tab w:val="left" w:pos="220"/>
          <w:tab w:val="left" w:pos="720"/>
        </w:tabs>
        <w:bidi w:val="0"/>
        <w:ind w:left="720" w:right="0" w:hanging="720"/>
        <w:jc w:val="left"/>
        <w:rPr>
          <w:rFonts w:ascii="Arial" w:cs="Arial" w:hAnsi="Arial" w:eastAsia="Arial"/>
          <w:color w:val="212121"/>
          <w:sz w:val="24"/>
          <w:szCs w:val="24"/>
          <w:shd w:val="clear" w:color="auto" w:fill="ffffff"/>
          <w:rtl w:val="0"/>
        </w:rPr>
      </w:pPr>
      <w:r>
        <w:rPr>
          <w:rFonts w:ascii="Arial" w:cs="Arial" w:hAnsi="Arial" w:eastAsia="Arial"/>
          <w:b w:val="1"/>
          <w:bCs w:val="1"/>
          <w:color w:val="212121"/>
          <w:sz w:val="24"/>
          <w:szCs w:val="24"/>
          <w:shd w:val="clear" w:color="auto" w:fill="ffffff"/>
          <w:rtl w:val="0"/>
        </w:rPr>
        <w:tab/>
        <w:tab/>
        <w:t>4.</w:t>
      </w:r>
      <w:r>
        <w:rPr>
          <w:rFonts w:ascii="Arial" w:hAnsi="Arial"/>
          <w:color w:val="212121"/>
          <w:sz w:val="24"/>
          <w:szCs w:val="24"/>
          <w:shd w:val="clear" w:color="auto" w:fill="ffffff"/>
          <w:rtl w:val="0"/>
          <w:lang w:val="en-US"/>
        </w:rPr>
        <w:t xml:space="preserve"> Provide information on the qualifications of key staff.</w:t>
      </w:r>
    </w:p>
    <w:sectPr>
      <w:headerReference w:type="default" r:id="rId4"/>
      <w:footerReference w:type="default" r:id="rId5"/>
      <w:pgSz w:w="12240" w:h="15840" w:orient="portrait"/>
      <w:pgMar w:top="1440" w:right="1440" w:bottom="1440" w:left="1440"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Default">
    <w:name w:val="Default"/>
    <w:next w:val="Default"/>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w:cs="Arial Unicode MS" w:hAnsi="Helvetica" w:eastAsia="Arial Unicode MS"/>
      <w:b w:val="0"/>
      <w:bCs w:val="0"/>
      <w:i w:val="0"/>
      <w:iCs w:val="0"/>
      <w:caps w:val="0"/>
      <w:smallCaps w:val="0"/>
      <w:strike w:val="0"/>
      <w:dstrike w:val="0"/>
      <w:outline w:val="0"/>
      <w:color w:val="000000"/>
      <w:spacing w:val="0"/>
      <w:kern w:val="0"/>
      <w:position w:val="0"/>
      <w:sz w:val="22"/>
      <w:szCs w:val="22"/>
      <w:u w:val="none"/>
      <w:vertAlign w:val="baseline"/>
      <w:lang w:val="en-US"/>
    </w:rPr>
  </w:style>
</w:styles>
</file>

<file path=word/_rels/document.xml.rels><?xml version="1.0" encoding="UTF-8" standalone="yes"?><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_rels/theme1.xml.rels><?xml version="1.0" encoding="UTF-8" standalone="yes"?><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r:embed="rId1"/>
          <a:srcRect l="0" t="0" r="0" b="0"/>
          <a:tile tx="0" ty="0" sx="100000" sy="100000" flip="none" algn="tl"/>
        </a:blipFill>
        <a:ln w="12700" cap="flat">
          <a:noFill/>
          <a:miter lim="400000"/>
        </a:ln>
        <a:effectLst>
          <a:outerShdw sx="100000" sy="100000" kx="0" ky="0" algn="b" rotWithShape="0" blurRad="38100" dist="25400" dir="5400000">
            <a:srgbClr val="000000">
              <a:alpha val="50000"/>
            </a:srgbClr>
          </a:outerShdw>
        </a:effectLst>
        <a:sp3d/>
      </a:spPr>
      <a:bodyPr rot="0" spcFirstLastPara="1" vertOverflow="overflow" horzOverflow="overflow" vert="horz" wrap="square" lIns="50800" tIns="50800" rIns="50800" bIns="50800" numCol="1" spcCol="38100" rtlCol="0" anchor="ctr" upright="0">
        <a:spAutoFit/>
      </a:bodyPr>
      <a:lstStyle>
        <a:defPPr marL="0" marR="0" indent="0" algn="ctr" defTabSz="457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outerShdw sx="100000" sy="100000" kx="0" ky="0" algn="b" rotWithShape="0" blurRad="25400" dist="23998" dir="270000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635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