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9A1" w:rsidRPr="004C49A1" w:rsidRDefault="004C49A1" w:rsidP="004C49A1">
      <w:r>
        <w:t>R</w:t>
      </w:r>
      <w:r w:rsidRPr="004C49A1">
        <w:t>equest for expression of interest for selection # 1224516</w:t>
      </w:r>
    </w:p>
    <w:p w:rsidR="004C49A1" w:rsidRPr="004C49A1" w:rsidRDefault="004C49A1" w:rsidP="004C49A1">
      <w:r w:rsidRPr="004C49A1">
        <w:t>Assignment Title</w:t>
      </w:r>
    </w:p>
    <w:p w:rsidR="004C49A1" w:rsidRPr="004C49A1" w:rsidRDefault="004C49A1" w:rsidP="004C49A1">
      <w:bookmarkStart w:id="0" w:name="_GoBack"/>
      <w:r w:rsidRPr="004C49A1">
        <w:t>Wind Resource Assessment and Mapping [Master Agreement]</w:t>
      </w:r>
    </w:p>
    <w:bookmarkEnd w:id="0"/>
    <w:p w:rsidR="004C49A1" w:rsidRPr="004C49A1" w:rsidRDefault="004C49A1" w:rsidP="004C49A1">
      <w:r w:rsidRPr="004C49A1">
        <w:t>Publication Date</w:t>
      </w:r>
    </w:p>
    <w:p w:rsidR="004C49A1" w:rsidRPr="004C49A1" w:rsidRDefault="004C49A1" w:rsidP="004C49A1">
      <w:r w:rsidRPr="004C49A1">
        <w:t> 30-Aug-2016</w:t>
      </w:r>
    </w:p>
    <w:p w:rsidR="004C49A1" w:rsidRPr="004C49A1" w:rsidRDefault="004C49A1" w:rsidP="004C49A1">
      <w:r w:rsidRPr="004C49A1">
        <w:t>Expression of Interest Deadline</w:t>
      </w:r>
    </w:p>
    <w:p w:rsidR="004C49A1" w:rsidRPr="004C49A1" w:rsidRDefault="004C49A1" w:rsidP="004C49A1">
      <w:r w:rsidRPr="004C49A1">
        <w:t> 30-Sep-2016 at 11:59:59 PM (Eastern Time – Washington D.C.)</w:t>
      </w:r>
    </w:p>
    <w:p w:rsidR="004C49A1" w:rsidRPr="004C49A1" w:rsidRDefault="004C49A1" w:rsidP="004C49A1">
      <w:r w:rsidRPr="004C49A1">
        <w:t>Language of Notice</w:t>
      </w:r>
    </w:p>
    <w:p w:rsidR="004C49A1" w:rsidRPr="004C49A1" w:rsidRDefault="004C49A1" w:rsidP="004C49A1">
      <w:r w:rsidRPr="004C49A1">
        <w:t> English</w:t>
      </w:r>
    </w:p>
    <w:p w:rsidR="004C49A1" w:rsidRPr="004C49A1" w:rsidRDefault="004C49A1" w:rsidP="004C49A1">
      <w:r w:rsidRPr="004C49A1">
        <w:t xml:space="preserve">Selection Notice </w:t>
      </w:r>
    </w:p>
    <w:p w:rsidR="004C49A1" w:rsidRPr="004C49A1" w:rsidRDefault="004C49A1" w:rsidP="004C49A1">
      <w:pPr>
        <w:rPr>
          <w:lang w:val="nl-NL"/>
        </w:rPr>
      </w:pPr>
      <w:r w:rsidRPr="004C49A1">
        <w:rPr>
          <w:lang w:val="nl-NL"/>
        </w:rPr>
        <w:t>Assignment Country</w:t>
      </w:r>
    </w:p>
    <w:p w:rsidR="004C49A1" w:rsidRPr="004C49A1" w:rsidRDefault="004C49A1" w:rsidP="004C49A1">
      <w:pPr>
        <w:numPr>
          <w:ilvl w:val="0"/>
          <w:numId w:val="1"/>
        </w:numPr>
        <w:rPr>
          <w:lang w:val="nl-NL"/>
        </w:rPr>
      </w:pPr>
      <w:r w:rsidRPr="004C49A1">
        <w:rPr>
          <w:lang w:val="nl-NL"/>
        </w:rPr>
        <w:t>No Countries Assigned</w:t>
      </w:r>
    </w:p>
    <w:p w:rsidR="004C49A1" w:rsidRPr="004C49A1" w:rsidRDefault="004C49A1" w:rsidP="004C49A1">
      <w:pPr>
        <w:rPr>
          <w:lang w:val="nl-NL"/>
        </w:rPr>
      </w:pPr>
      <w:r w:rsidRPr="004C49A1">
        <w:rPr>
          <w:lang w:val="nl-NL"/>
        </w:rPr>
        <w:t>Funding Sources</w:t>
      </w:r>
    </w:p>
    <w:p w:rsidR="004C49A1" w:rsidRPr="004C49A1" w:rsidRDefault="004C49A1" w:rsidP="004C49A1">
      <w:r w:rsidRPr="004C49A1">
        <w:t xml:space="preserve">The World Bank Group intends to finance the assignment/services under: </w:t>
      </w:r>
    </w:p>
    <w:p w:rsidR="004C49A1" w:rsidRPr="004C49A1" w:rsidRDefault="004C49A1" w:rsidP="004C49A1">
      <w:pPr>
        <w:numPr>
          <w:ilvl w:val="0"/>
          <w:numId w:val="2"/>
        </w:numPr>
        <w:rPr>
          <w:lang w:val="nl-NL"/>
        </w:rPr>
      </w:pPr>
      <w:r w:rsidRPr="004C49A1">
        <w:rPr>
          <w:lang w:val="nl-NL"/>
        </w:rPr>
        <w:t>BB - BANK BUDGET</w:t>
      </w:r>
    </w:p>
    <w:p w:rsidR="004C49A1" w:rsidRPr="004C49A1" w:rsidRDefault="004C49A1" w:rsidP="004C49A1">
      <w:pPr>
        <w:numPr>
          <w:ilvl w:val="0"/>
          <w:numId w:val="2"/>
        </w:numPr>
        <w:rPr>
          <w:lang w:val="nl-NL"/>
        </w:rPr>
      </w:pPr>
      <w:r w:rsidRPr="004C49A1">
        <w:rPr>
          <w:lang w:val="nl-NL"/>
        </w:rPr>
        <w:t>TF012735 - Renewable Energy Resource Mapping</w:t>
      </w:r>
    </w:p>
    <w:p w:rsidR="004C49A1" w:rsidRPr="004C49A1" w:rsidRDefault="004C49A1" w:rsidP="004C49A1">
      <w:pPr>
        <w:rPr>
          <w:lang w:val="nl-NL"/>
        </w:rPr>
      </w:pPr>
      <w:r w:rsidRPr="004C49A1">
        <w:rPr>
          <w:lang w:val="nl-NL"/>
        </w:rPr>
        <w:t>Individual/Firm</w:t>
      </w:r>
    </w:p>
    <w:p w:rsidR="004C49A1" w:rsidRPr="004C49A1" w:rsidRDefault="004C49A1" w:rsidP="004C49A1">
      <w:r w:rsidRPr="004C49A1">
        <w:t xml:space="preserve">The consultant will be a firm. </w:t>
      </w:r>
    </w:p>
    <w:p w:rsidR="004C49A1" w:rsidRPr="004C49A1" w:rsidRDefault="004C49A1" w:rsidP="004C49A1">
      <w:pPr>
        <w:rPr>
          <w:lang w:val="nl-NL"/>
        </w:rPr>
      </w:pPr>
      <w:r w:rsidRPr="004C49A1">
        <w:rPr>
          <w:lang w:val="nl-NL"/>
        </w:rPr>
        <w:t xml:space="preserve">Assignment Description </w:t>
      </w:r>
    </w:p>
    <w:p w:rsidR="004C49A1" w:rsidRDefault="004C49A1" w:rsidP="004C49A1">
      <w:r w:rsidRPr="004C49A1">
        <w:t>SELECTION FOR CONSULTANTS BY THE WORLD BANK</w:t>
      </w:r>
      <w:r w:rsidRPr="004C49A1">
        <w:br/>
      </w:r>
      <w:r w:rsidRPr="004C49A1">
        <w:br/>
        <w:t>REQUEST FOR EXPRESSIONS OF INTEREST</w:t>
      </w:r>
      <w:r w:rsidRPr="004C49A1">
        <w:br/>
      </w:r>
      <w:r w:rsidRPr="004C49A1">
        <w:br/>
        <w:t>Electronic Submissions through World Bank Group eConsultant2</w:t>
      </w:r>
      <w:r w:rsidRPr="004C49A1">
        <w:br/>
        <w:t>https://wbgeconsult2.worldbank.org/wbgec/index.html</w:t>
      </w:r>
      <w:r w:rsidRPr="004C49A1">
        <w:br/>
      </w:r>
      <w:r w:rsidRPr="004C49A1">
        <w:br/>
        <w:t>ASSIGNMENT OVERVIEW</w:t>
      </w:r>
      <w:r w:rsidRPr="004C49A1">
        <w:br/>
      </w:r>
      <w:r w:rsidRPr="004C49A1">
        <w:br/>
        <w:t>Assignment Title: Wind Resource Assessment and Mapping [Master Agreement]</w:t>
      </w:r>
      <w:r w:rsidRPr="004C49A1">
        <w:br/>
      </w:r>
      <w:r w:rsidRPr="004C49A1">
        <w:br/>
        <w:t>Assignment Countries:</w:t>
      </w:r>
      <w:r w:rsidRPr="004C49A1">
        <w:br/>
        <w:t>- World</w:t>
      </w:r>
      <w:r w:rsidRPr="004C49A1">
        <w:br/>
      </w:r>
      <w:r w:rsidRPr="004C49A1">
        <w:br/>
        <w:t>ASSIGNMENT DESCRIPTION</w:t>
      </w:r>
      <w:r w:rsidRPr="004C49A1">
        <w:br/>
      </w:r>
      <w:r w:rsidRPr="004C49A1">
        <w:br/>
        <w:t>A. INTRODUCTION</w:t>
      </w:r>
      <w:r w:rsidRPr="004C49A1">
        <w:br/>
        <w:t xml:space="preserve">The World Bank and the International Finance Corporation (IFC) are scaling up their operational lending and investments relating to renewable energy, including wind power, in response to growing client demand. A key component of the advice provided to clients, and an important input to the evaluation of prospective lending/investment projects, is wind resource assessment and mapping. Outputs are needed for multiple different purposes, including: i) building a shared understanding of </w:t>
      </w:r>
      <w:r w:rsidRPr="004C49A1">
        <w:lastRenderedPageBreak/>
        <w:t>the resource potential, and the role that wind power could play in the energy mix; ii) carrying out strategic planning, geospatial analysis, and grid integration studies; iii) supporting policy development, including establishment of tariffs, incentives, PPAs, or auctions, and ensuring a well-informed off-taker; and v) carrying out pre-feasibility studies to identify potential sites for development or zoning purposes.</w:t>
      </w:r>
    </w:p>
    <w:p w:rsidR="004C49A1" w:rsidRDefault="004C49A1" w:rsidP="004C49A1">
      <w:r w:rsidRPr="004C49A1">
        <w:br/>
        <w:t>To help meet these needs, The World Bank and the IFC are seeking a supplier of high quality, global wind resource assessment and mapping services under a multi-year Master Agreement, to include a range of global, country-based, and project-specific services and outputs.</w:t>
      </w:r>
      <w:r w:rsidRPr="004C49A1">
        <w:br/>
        <w:t>This selection builds on the existing initiative on Renewable Energy Resource Assessment and Mapping led by the Energy Sector Management Assistance Program (ESMAP), a multi-donor trust fund administered by The World Bank, and is intended to provide a more sustainable, wholesale approach for obtaining the required data and outputs, more quickly and at lower cost than from detailed country-level studies. The resulting Master Agreement (contract) will be issued by the World Bank Group (WBG), and will therefore apply to both World Bank and IFC project teams.</w:t>
      </w:r>
    </w:p>
    <w:p w:rsidR="004C49A1" w:rsidRPr="004C49A1" w:rsidRDefault="004C49A1" w:rsidP="004C49A1">
      <w:r w:rsidRPr="004C49A1">
        <w:br/>
        <w:t>B. GENERAL SCOPE OF THE SERVICES</w:t>
      </w:r>
      <w:r w:rsidRPr="004C49A1">
        <w:br/>
        <w:t>The envisaged scope of the Master Agreement would be based on access to high quality, global, and regularly updated wind resource data from a maintained dataset, founded on the most advanced, peer reviewed wind resource modeling methodologies currently available. The resource data shall be scientifically validated using ground-based measurements where these exist, with the validation results in the public domain. However, the Master Agreement would not include provision for new ground-based measurements, nor would the winning Vendor be expected to commission ground-based measurements themselves. The dataset shall include all the key variables for mesoscale wind resource assessment, at multiple heights, at a minimum resolution of 3km, and with a temporal coverage of at least 10 years.</w:t>
      </w:r>
      <w:r w:rsidRPr="004C49A1">
        <w:br/>
      </w:r>
      <w:r w:rsidRPr="004C49A1">
        <w:br/>
        <w:t>Specific services and outputs may include:</w:t>
      </w:r>
      <w:r w:rsidRPr="004C49A1">
        <w:br/>
        <w:t>A global, online mapping platform that provides high quality mesoscale wind data that is publicly available, thereby supporting further microscale analysis by project developers, and under the Global Wind Atlas project;</w:t>
      </w:r>
      <w:r w:rsidRPr="004C49A1">
        <w:br/>
        <w:t>Global and country-specific GIS layers for key wind resource outputs at the mesoscale level, to be made available via the IRENA Global Atlas;</w:t>
      </w:r>
      <w:r w:rsidRPr="004C49A1">
        <w:br/>
        <w:t>Accompanying posters showing key mesoscale wind resources for every country in the world, to be provided for download from The World Bank website;</w:t>
      </w:r>
      <w:r w:rsidRPr="004C49A1">
        <w:br/>
        <w:t>Access to software tools for WBG staff that provide more detailed access to key wind data and allow for rapid desktop analysis;</w:t>
      </w:r>
      <w:r w:rsidRPr="004C49A1">
        <w:br/>
        <w:t>Reports detailing the wind resource or areas for potential wind farm development at the country level (strategic analysis), in identified search areas (targeted analysis or pre-feasibility), or at a number of identified sites (pre-feasibility studies) for both internal WBG use and for public dissemination, as requested by WBG project teams;</w:t>
      </w:r>
      <w:r w:rsidRPr="004C49A1">
        <w:br/>
        <w:t>Country-specific and project-specific time series data and/or temporal resource analysis for internal WBG use (e.g. as an input to grid integration studies) for both internal WBG use and client dissemination, as requested by WBG project teams;</w:t>
      </w:r>
      <w:r w:rsidRPr="004C49A1">
        <w:br/>
        <w:t>In-country training and capacity building, and provision of advice to clients;</w:t>
      </w:r>
      <w:r w:rsidRPr="004C49A1">
        <w:br/>
        <w:t>Annual or bi-annual updates to the underlying wind resource database and all outputs;</w:t>
      </w:r>
      <w:r w:rsidRPr="004C49A1">
        <w:br/>
        <w:t>An annually updated report outlining priority regions, countries and specific locations where additional ground measurements are needed for validation purposes, based on theoretical wind resources and the existence/lack of high quality measurement data in the public domain;</w:t>
      </w:r>
      <w:r w:rsidRPr="004C49A1">
        <w:br/>
        <w:t>A transparent process for validating the wind resource model, including an annual validation report using publicly available measurement data.</w:t>
      </w:r>
      <w:r w:rsidRPr="004C49A1">
        <w:br/>
      </w:r>
      <w:r w:rsidRPr="004C49A1">
        <w:br/>
        <w:t>Full Terms of Reference (TOR) will be issued with the Request for Proposals (RFP) package will contain a more detailed description of the scope of services to be provided.</w:t>
      </w:r>
      <w:r w:rsidRPr="004C49A1">
        <w:br/>
      </w:r>
      <w:r w:rsidRPr="004C49A1">
        <w:br/>
        <w:t>C. EXPRESSION OF INTEREST &amp; INFORMATION</w:t>
      </w:r>
      <w:r w:rsidRPr="004C49A1">
        <w:br/>
        <w:t>Consultants are invited to submit Expressions of Interest (EOI) for this selection, which shall include:</w:t>
      </w:r>
      <w:r w:rsidRPr="004C49A1">
        <w:br/>
      </w:r>
      <w:r w:rsidRPr="004C49A1">
        <w:lastRenderedPageBreak/>
        <w:t>Outline of the Consultants (or Consortiums) core business and experience in carrying out wind resource assessment and mapping;</w:t>
      </w:r>
      <w:r w:rsidRPr="004C49A1">
        <w:br/>
        <w:t>Summary description of their methodological approach and wind resource model, including the extent to which it has been peer reviewed; the level of methodological transparency; and a description of existing model validation studies and their results;</w:t>
      </w:r>
      <w:r w:rsidRPr="004C49A1">
        <w:br/>
        <w:t xml:space="preserve">Summary description of the reanalysis data, ground-based measurement networks, and other data sources that provide inputs to the Consultants model and analysis; </w:t>
      </w:r>
      <w:r w:rsidRPr="004C49A1">
        <w:br/>
        <w:t>Confirmation of their ability to offer global, on-demand services from a standing dataset in response to WBG requests;</w:t>
      </w:r>
      <w:r w:rsidRPr="004C49A1">
        <w:br/>
        <w:t>Description of any licensing requirements/restrictions or data proprietary issues;</w:t>
      </w:r>
      <w:r w:rsidRPr="004C49A1">
        <w:br/>
        <w:t>Experience of working with and in WBG client countries;</w:t>
      </w:r>
      <w:r w:rsidRPr="004C49A1">
        <w:br/>
        <w:t>Details of key members of the Consultants team and their experience with wind resource assessment and mapping;</w:t>
      </w:r>
      <w:r w:rsidRPr="004C49A1">
        <w:br/>
        <w:t>Details of any international, regional or country-specific partnerships or technical cooperation agreements;</w:t>
      </w:r>
      <w:r w:rsidRPr="004C49A1">
        <w:br/>
        <w:t>Any restrictions (security or otherwise) on the Consultants ability to operate in the countries where the WBG has an operational presence;</w:t>
      </w:r>
      <w:r w:rsidRPr="004C49A1">
        <w:br/>
        <w:t>Details on the Consultants size in terms of number of staff and annual turnover;</w:t>
      </w:r>
      <w:r w:rsidRPr="004C49A1">
        <w:br/>
        <w:t>Any comments that the Consultant has on the approach being proposed or methodological considerations that the WBG should take into account [all comments are highly appreciated].</w:t>
      </w:r>
      <w:r w:rsidRPr="004C49A1">
        <w:br/>
      </w:r>
      <w:r w:rsidRPr="004C49A1">
        <w:br/>
        <w:t>D. FIRM PROFILE</w:t>
      </w:r>
      <w:r w:rsidRPr="004C49A1">
        <w:br/>
        <w:t>It is anticipated that Consultants responding to this EOI will be firms, or consortia of firms (with one firm designated as the lead vendor).</w:t>
      </w:r>
      <w:r w:rsidRPr="004C49A1">
        <w:br/>
      </w:r>
      <w:r w:rsidRPr="004C49A1">
        <w:br/>
        <w:t>E. SUBMISSION REQUIREMENTS</w:t>
      </w:r>
      <w:r w:rsidRPr="004C49A1">
        <w:br/>
        <w:t xml:space="preserve">The World Bank now invites eligible consultants to indicate their interest in a Master Agreement for the provision of services. </w:t>
      </w:r>
      <w:r w:rsidRPr="004C49A1">
        <w:br/>
      </w:r>
      <w:r w:rsidRPr="004C49A1">
        <w:br/>
        <w:t>Interested Consultants must provide information indicating that they are qualified to perform the services, referring to the guidance above. Consultants may associate with other invited and non-invited firms to enhance their qualifications. The EOI submission shall be in the form of a single attached PDF proposal, including any annexes. Please note that the total size of this PDF file should be less than 5MB. We require that Consultants limit their EOI to a focused and tailored submission not to exceed 10 pages, exclusive of CVs and suggestions/comments on the proposed approach/methodology, which can be included as annex material. EOI submissions that go beyond the 10 page limit WILL NOT BE REVIEWED beyond this point, which may negatively impact on the scoring that is given. The intention at this stage is to assess the suitability of each Consultant to be invited to the RFP stage, and so firms should focus on responding to the criteria outlined in Section C above, and should keep their EOI submissions concise and to the point.</w:t>
      </w:r>
      <w:r w:rsidRPr="004C49A1">
        <w:br/>
      </w:r>
      <w:r w:rsidRPr="004C49A1">
        <w:br/>
        <w:t>F. NOTES</w:t>
      </w:r>
      <w:r w:rsidRPr="004C49A1">
        <w:br/>
        <w:t>Following the completion of the EOI stage, eligible consultants will be invited to the RFP stage, which will include a full technical and financial evaluation. The highest scoring vendor shall be offered a Master Agreement with the WBG. A Master Agreement is a form of Contract issued to facilitate requirements of an indefinite quantity over a specific period or contract term. Specific services are contracted via a Task Order directly based on demand from project teams and clients.</w:t>
      </w:r>
      <w:r w:rsidRPr="004C49A1">
        <w:br/>
      </w:r>
      <w:r w:rsidRPr="004C49A1">
        <w:br/>
      </w:r>
      <w:r w:rsidRPr="004C49A1">
        <w:br/>
        <w:t>Interested consultants are hereby invited to submit expressions of interest.</w:t>
      </w:r>
      <w:r w:rsidRPr="004C49A1">
        <w:br/>
      </w:r>
      <w:r w:rsidRPr="004C49A1">
        <w:br/>
        <w:t>Expressions of Interest of no more than 10 pages (excluding annexes) should be submitted as a single PDF attachment, in English, electronically through World Bank Group eConsultant2 (https://wbgeconsult2.worldbank.org/wbgec/index.html).</w:t>
      </w:r>
    </w:p>
    <w:p w:rsidR="004C49A1" w:rsidRPr="004C49A1" w:rsidRDefault="004C49A1" w:rsidP="004C49A1">
      <w:pPr>
        <w:rPr>
          <w:lang w:val="nl-NL"/>
        </w:rPr>
      </w:pPr>
      <w:r w:rsidRPr="004C49A1">
        <w:rPr>
          <w:lang w:val="nl-NL"/>
        </w:rPr>
        <w:t xml:space="preserve">Qualification Criteria </w:t>
      </w:r>
    </w:p>
    <w:p w:rsidR="004C49A1" w:rsidRPr="004C49A1" w:rsidRDefault="004C49A1" w:rsidP="004C49A1">
      <w:pPr>
        <w:numPr>
          <w:ilvl w:val="0"/>
          <w:numId w:val="3"/>
        </w:numPr>
      </w:pPr>
      <w:r w:rsidRPr="004C49A1">
        <w:t>There is no Qualification Criteria set for this Notification.</w:t>
      </w:r>
    </w:p>
    <w:p w:rsidR="004C49A1" w:rsidRPr="004C49A1" w:rsidRDefault="004C49A1" w:rsidP="004C49A1">
      <w:pPr>
        <w:rPr>
          <w:lang w:val="nl-NL"/>
        </w:rPr>
      </w:pPr>
      <w:r w:rsidRPr="004C49A1">
        <w:rPr>
          <w:lang w:val="nl-NL"/>
        </w:rPr>
        <w:lastRenderedPageBreak/>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C0271"/>
    <w:multiLevelType w:val="multilevel"/>
    <w:tmpl w:val="C9E60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393828"/>
    <w:multiLevelType w:val="multilevel"/>
    <w:tmpl w:val="1F464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2401B0"/>
    <w:multiLevelType w:val="multilevel"/>
    <w:tmpl w:val="BB3C7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9A1"/>
    <w:rsid w:val="004C49A1"/>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885171">
      <w:bodyDiv w:val="1"/>
      <w:marLeft w:val="0"/>
      <w:marRight w:val="0"/>
      <w:marTop w:val="0"/>
      <w:marBottom w:val="0"/>
      <w:divBdr>
        <w:top w:val="none" w:sz="0" w:space="0" w:color="auto"/>
        <w:left w:val="none" w:sz="0" w:space="0" w:color="auto"/>
        <w:bottom w:val="none" w:sz="0" w:space="0" w:color="auto"/>
        <w:right w:val="none" w:sz="0" w:space="0" w:color="auto"/>
      </w:divBdr>
      <w:divsChild>
        <w:div w:id="406466650">
          <w:marLeft w:val="0"/>
          <w:marRight w:val="0"/>
          <w:marTop w:val="0"/>
          <w:marBottom w:val="0"/>
          <w:divBdr>
            <w:top w:val="none" w:sz="0" w:space="0" w:color="auto"/>
            <w:left w:val="none" w:sz="0" w:space="0" w:color="auto"/>
            <w:bottom w:val="none" w:sz="0" w:space="0" w:color="auto"/>
            <w:right w:val="none" w:sz="0" w:space="0" w:color="auto"/>
          </w:divBdr>
        </w:div>
        <w:div w:id="992954927">
          <w:marLeft w:val="0"/>
          <w:marRight w:val="0"/>
          <w:marTop w:val="0"/>
          <w:marBottom w:val="0"/>
          <w:divBdr>
            <w:top w:val="none" w:sz="0" w:space="0" w:color="auto"/>
            <w:left w:val="none" w:sz="0" w:space="0" w:color="auto"/>
            <w:bottom w:val="none" w:sz="0" w:space="0" w:color="auto"/>
            <w:right w:val="none" w:sz="0" w:space="0" w:color="auto"/>
          </w:divBdr>
          <w:divsChild>
            <w:div w:id="1621915958">
              <w:marLeft w:val="0"/>
              <w:marRight w:val="0"/>
              <w:marTop w:val="0"/>
              <w:marBottom w:val="0"/>
              <w:divBdr>
                <w:top w:val="none" w:sz="0" w:space="0" w:color="auto"/>
                <w:left w:val="none" w:sz="0" w:space="0" w:color="auto"/>
                <w:bottom w:val="none" w:sz="0" w:space="0" w:color="auto"/>
                <w:right w:val="none" w:sz="0" w:space="0" w:color="auto"/>
              </w:divBdr>
              <w:divsChild>
                <w:div w:id="226764512">
                  <w:marLeft w:val="0"/>
                  <w:marRight w:val="0"/>
                  <w:marTop w:val="0"/>
                  <w:marBottom w:val="0"/>
                  <w:divBdr>
                    <w:top w:val="none" w:sz="0" w:space="0" w:color="auto"/>
                    <w:left w:val="none" w:sz="0" w:space="0" w:color="auto"/>
                    <w:bottom w:val="none" w:sz="0" w:space="0" w:color="auto"/>
                    <w:right w:val="none" w:sz="0" w:space="0" w:color="auto"/>
                  </w:divBdr>
                </w:div>
              </w:divsChild>
            </w:div>
            <w:div w:id="1147167709">
              <w:marLeft w:val="0"/>
              <w:marRight w:val="0"/>
              <w:marTop w:val="0"/>
              <w:marBottom w:val="0"/>
              <w:divBdr>
                <w:top w:val="none" w:sz="0" w:space="0" w:color="auto"/>
                <w:left w:val="none" w:sz="0" w:space="0" w:color="auto"/>
                <w:bottom w:val="none" w:sz="0" w:space="0" w:color="auto"/>
                <w:right w:val="none" w:sz="0" w:space="0" w:color="auto"/>
              </w:divBdr>
              <w:divsChild>
                <w:div w:id="1209301177">
                  <w:marLeft w:val="0"/>
                  <w:marRight w:val="0"/>
                  <w:marTop w:val="0"/>
                  <w:marBottom w:val="0"/>
                  <w:divBdr>
                    <w:top w:val="none" w:sz="0" w:space="0" w:color="auto"/>
                    <w:left w:val="none" w:sz="0" w:space="0" w:color="auto"/>
                    <w:bottom w:val="none" w:sz="0" w:space="0" w:color="auto"/>
                    <w:right w:val="none" w:sz="0" w:space="0" w:color="auto"/>
                  </w:divBdr>
                </w:div>
                <w:div w:id="43452158">
                  <w:marLeft w:val="0"/>
                  <w:marRight w:val="0"/>
                  <w:marTop w:val="0"/>
                  <w:marBottom w:val="0"/>
                  <w:divBdr>
                    <w:top w:val="none" w:sz="0" w:space="0" w:color="auto"/>
                    <w:left w:val="none" w:sz="0" w:space="0" w:color="auto"/>
                    <w:bottom w:val="none" w:sz="0" w:space="0" w:color="auto"/>
                    <w:right w:val="none" w:sz="0" w:space="0" w:color="auto"/>
                  </w:divBdr>
                </w:div>
              </w:divsChild>
            </w:div>
            <w:div w:id="1607232788">
              <w:marLeft w:val="0"/>
              <w:marRight w:val="0"/>
              <w:marTop w:val="0"/>
              <w:marBottom w:val="0"/>
              <w:divBdr>
                <w:top w:val="none" w:sz="0" w:space="0" w:color="auto"/>
                <w:left w:val="none" w:sz="0" w:space="0" w:color="auto"/>
                <w:bottom w:val="none" w:sz="0" w:space="0" w:color="auto"/>
                <w:right w:val="none" w:sz="0" w:space="0" w:color="auto"/>
              </w:divBdr>
              <w:divsChild>
                <w:div w:id="710423627">
                  <w:marLeft w:val="0"/>
                  <w:marRight w:val="0"/>
                  <w:marTop w:val="0"/>
                  <w:marBottom w:val="0"/>
                  <w:divBdr>
                    <w:top w:val="none" w:sz="0" w:space="0" w:color="auto"/>
                    <w:left w:val="none" w:sz="0" w:space="0" w:color="auto"/>
                    <w:bottom w:val="none" w:sz="0" w:space="0" w:color="auto"/>
                    <w:right w:val="none" w:sz="0" w:space="0" w:color="auto"/>
                  </w:divBdr>
                </w:div>
                <w:div w:id="865364878">
                  <w:marLeft w:val="0"/>
                  <w:marRight w:val="0"/>
                  <w:marTop w:val="0"/>
                  <w:marBottom w:val="0"/>
                  <w:divBdr>
                    <w:top w:val="none" w:sz="0" w:space="0" w:color="auto"/>
                    <w:left w:val="none" w:sz="0" w:space="0" w:color="auto"/>
                    <w:bottom w:val="none" w:sz="0" w:space="0" w:color="auto"/>
                    <w:right w:val="none" w:sz="0" w:space="0" w:color="auto"/>
                  </w:divBdr>
                </w:div>
              </w:divsChild>
            </w:div>
            <w:div w:id="804464529">
              <w:marLeft w:val="0"/>
              <w:marRight w:val="0"/>
              <w:marTop w:val="0"/>
              <w:marBottom w:val="0"/>
              <w:divBdr>
                <w:top w:val="none" w:sz="0" w:space="0" w:color="auto"/>
                <w:left w:val="none" w:sz="0" w:space="0" w:color="auto"/>
                <w:bottom w:val="none" w:sz="0" w:space="0" w:color="auto"/>
                <w:right w:val="none" w:sz="0" w:space="0" w:color="auto"/>
              </w:divBdr>
              <w:divsChild>
                <w:div w:id="997727393">
                  <w:marLeft w:val="0"/>
                  <w:marRight w:val="0"/>
                  <w:marTop w:val="0"/>
                  <w:marBottom w:val="0"/>
                  <w:divBdr>
                    <w:top w:val="none" w:sz="0" w:space="0" w:color="auto"/>
                    <w:left w:val="none" w:sz="0" w:space="0" w:color="auto"/>
                    <w:bottom w:val="none" w:sz="0" w:space="0" w:color="auto"/>
                    <w:right w:val="none" w:sz="0" w:space="0" w:color="auto"/>
                  </w:divBdr>
                </w:div>
                <w:div w:id="1287618347">
                  <w:marLeft w:val="0"/>
                  <w:marRight w:val="0"/>
                  <w:marTop w:val="0"/>
                  <w:marBottom w:val="0"/>
                  <w:divBdr>
                    <w:top w:val="none" w:sz="0" w:space="0" w:color="auto"/>
                    <w:left w:val="none" w:sz="0" w:space="0" w:color="auto"/>
                    <w:bottom w:val="none" w:sz="0" w:space="0" w:color="auto"/>
                    <w:right w:val="none" w:sz="0" w:space="0" w:color="auto"/>
                  </w:divBdr>
                </w:div>
              </w:divsChild>
            </w:div>
            <w:div w:id="2022662143">
              <w:marLeft w:val="0"/>
              <w:marRight w:val="0"/>
              <w:marTop w:val="0"/>
              <w:marBottom w:val="0"/>
              <w:divBdr>
                <w:top w:val="none" w:sz="0" w:space="0" w:color="auto"/>
                <w:left w:val="none" w:sz="0" w:space="0" w:color="auto"/>
                <w:bottom w:val="none" w:sz="0" w:space="0" w:color="auto"/>
                <w:right w:val="none" w:sz="0" w:space="0" w:color="auto"/>
              </w:divBdr>
              <w:divsChild>
                <w:div w:id="2003002032">
                  <w:marLeft w:val="0"/>
                  <w:marRight w:val="0"/>
                  <w:marTop w:val="0"/>
                  <w:marBottom w:val="0"/>
                  <w:divBdr>
                    <w:top w:val="none" w:sz="0" w:space="0" w:color="auto"/>
                    <w:left w:val="none" w:sz="0" w:space="0" w:color="auto"/>
                    <w:bottom w:val="none" w:sz="0" w:space="0" w:color="auto"/>
                    <w:right w:val="none" w:sz="0" w:space="0" w:color="auto"/>
                  </w:divBdr>
                </w:div>
                <w:div w:id="437678128">
                  <w:marLeft w:val="0"/>
                  <w:marRight w:val="0"/>
                  <w:marTop w:val="0"/>
                  <w:marBottom w:val="0"/>
                  <w:divBdr>
                    <w:top w:val="none" w:sz="0" w:space="0" w:color="auto"/>
                    <w:left w:val="none" w:sz="0" w:space="0" w:color="auto"/>
                    <w:bottom w:val="none" w:sz="0" w:space="0" w:color="auto"/>
                    <w:right w:val="none" w:sz="0" w:space="0" w:color="auto"/>
                  </w:divBdr>
                </w:div>
              </w:divsChild>
            </w:div>
            <w:div w:id="675302448">
              <w:marLeft w:val="0"/>
              <w:marRight w:val="0"/>
              <w:marTop w:val="0"/>
              <w:marBottom w:val="0"/>
              <w:divBdr>
                <w:top w:val="none" w:sz="0" w:space="0" w:color="auto"/>
                <w:left w:val="none" w:sz="0" w:space="0" w:color="auto"/>
                <w:bottom w:val="none" w:sz="0" w:space="0" w:color="auto"/>
                <w:right w:val="none" w:sz="0" w:space="0" w:color="auto"/>
              </w:divBdr>
              <w:divsChild>
                <w:div w:id="1826315849">
                  <w:marLeft w:val="0"/>
                  <w:marRight w:val="0"/>
                  <w:marTop w:val="0"/>
                  <w:marBottom w:val="0"/>
                  <w:divBdr>
                    <w:top w:val="none" w:sz="0" w:space="0" w:color="auto"/>
                    <w:left w:val="none" w:sz="0" w:space="0" w:color="auto"/>
                    <w:bottom w:val="none" w:sz="0" w:space="0" w:color="auto"/>
                    <w:right w:val="none" w:sz="0" w:space="0" w:color="auto"/>
                  </w:divBdr>
                </w:div>
                <w:div w:id="1280066392">
                  <w:marLeft w:val="0"/>
                  <w:marRight w:val="0"/>
                  <w:marTop w:val="0"/>
                  <w:marBottom w:val="0"/>
                  <w:divBdr>
                    <w:top w:val="none" w:sz="0" w:space="0" w:color="auto"/>
                    <w:left w:val="none" w:sz="0" w:space="0" w:color="auto"/>
                    <w:bottom w:val="none" w:sz="0" w:space="0" w:color="auto"/>
                    <w:right w:val="none" w:sz="0" w:space="0" w:color="auto"/>
                  </w:divBdr>
                </w:div>
              </w:divsChild>
            </w:div>
            <w:div w:id="727915954">
              <w:marLeft w:val="0"/>
              <w:marRight w:val="0"/>
              <w:marTop w:val="0"/>
              <w:marBottom w:val="0"/>
              <w:divBdr>
                <w:top w:val="none" w:sz="0" w:space="0" w:color="auto"/>
                <w:left w:val="none" w:sz="0" w:space="0" w:color="auto"/>
                <w:bottom w:val="none" w:sz="0" w:space="0" w:color="auto"/>
                <w:right w:val="none" w:sz="0" w:space="0" w:color="auto"/>
              </w:divBdr>
              <w:divsChild>
                <w:div w:id="1975333915">
                  <w:marLeft w:val="0"/>
                  <w:marRight w:val="0"/>
                  <w:marTop w:val="0"/>
                  <w:marBottom w:val="0"/>
                  <w:divBdr>
                    <w:top w:val="none" w:sz="0" w:space="0" w:color="auto"/>
                    <w:left w:val="none" w:sz="0" w:space="0" w:color="auto"/>
                    <w:bottom w:val="none" w:sz="0" w:space="0" w:color="auto"/>
                    <w:right w:val="none" w:sz="0" w:space="0" w:color="auto"/>
                  </w:divBdr>
                </w:div>
                <w:div w:id="1959876935">
                  <w:marLeft w:val="0"/>
                  <w:marRight w:val="0"/>
                  <w:marTop w:val="0"/>
                  <w:marBottom w:val="0"/>
                  <w:divBdr>
                    <w:top w:val="none" w:sz="0" w:space="0" w:color="auto"/>
                    <w:left w:val="none" w:sz="0" w:space="0" w:color="auto"/>
                    <w:bottom w:val="none" w:sz="0" w:space="0" w:color="auto"/>
                    <w:right w:val="none" w:sz="0" w:space="0" w:color="auto"/>
                  </w:divBdr>
                </w:div>
              </w:divsChild>
            </w:div>
            <w:div w:id="841547901">
              <w:marLeft w:val="0"/>
              <w:marRight w:val="0"/>
              <w:marTop w:val="0"/>
              <w:marBottom w:val="0"/>
              <w:divBdr>
                <w:top w:val="none" w:sz="0" w:space="0" w:color="auto"/>
                <w:left w:val="none" w:sz="0" w:space="0" w:color="auto"/>
                <w:bottom w:val="none" w:sz="0" w:space="0" w:color="auto"/>
                <w:right w:val="none" w:sz="0" w:space="0" w:color="auto"/>
              </w:divBdr>
              <w:divsChild>
                <w:div w:id="1465852574">
                  <w:marLeft w:val="0"/>
                  <w:marRight w:val="0"/>
                  <w:marTop w:val="0"/>
                  <w:marBottom w:val="0"/>
                  <w:divBdr>
                    <w:top w:val="none" w:sz="0" w:space="0" w:color="auto"/>
                    <w:left w:val="none" w:sz="0" w:space="0" w:color="auto"/>
                    <w:bottom w:val="none" w:sz="0" w:space="0" w:color="auto"/>
                    <w:right w:val="none" w:sz="0" w:space="0" w:color="auto"/>
                  </w:divBdr>
                </w:div>
                <w:div w:id="484515136">
                  <w:marLeft w:val="0"/>
                  <w:marRight w:val="0"/>
                  <w:marTop w:val="0"/>
                  <w:marBottom w:val="0"/>
                  <w:divBdr>
                    <w:top w:val="none" w:sz="0" w:space="0" w:color="auto"/>
                    <w:left w:val="none" w:sz="0" w:space="0" w:color="auto"/>
                    <w:bottom w:val="none" w:sz="0" w:space="0" w:color="auto"/>
                    <w:right w:val="none" w:sz="0" w:space="0" w:color="auto"/>
                  </w:divBdr>
                </w:div>
              </w:divsChild>
            </w:div>
            <w:div w:id="1082288565">
              <w:marLeft w:val="0"/>
              <w:marRight w:val="0"/>
              <w:marTop w:val="0"/>
              <w:marBottom w:val="0"/>
              <w:divBdr>
                <w:top w:val="none" w:sz="0" w:space="0" w:color="auto"/>
                <w:left w:val="none" w:sz="0" w:space="0" w:color="auto"/>
                <w:bottom w:val="none" w:sz="0" w:space="0" w:color="auto"/>
                <w:right w:val="none" w:sz="0" w:space="0" w:color="auto"/>
              </w:divBdr>
            </w:div>
            <w:div w:id="1318998774">
              <w:marLeft w:val="0"/>
              <w:marRight w:val="0"/>
              <w:marTop w:val="0"/>
              <w:marBottom w:val="0"/>
              <w:divBdr>
                <w:top w:val="none" w:sz="0" w:space="0" w:color="auto"/>
                <w:left w:val="none" w:sz="0" w:space="0" w:color="auto"/>
                <w:bottom w:val="none" w:sz="0" w:space="0" w:color="auto"/>
                <w:right w:val="none" w:sz="0" w:space="0" w:color="auto"/>
              </w:divBdr>
              <w:divsChild>
                <w:div w:id="1323002125">
                  <w:marLeft w:val="0"/>
                  <w:marRight w:val="0"/>
                  <w:marTop w:val="0"/>
                  <w:marBottom w:val="0"/>
                  <w:divBdr>
                    <w:top w:val="none" w:sz="0" w:space="0" w:color="auto"/>
                    <w:left w:val="none" w:sz="0" w:space="0" w:color="auto"/>
                    <w:bottom w:val="none" w:sz="0" w:space="0" w:color="auto"/>
                    <w:right w:val="none" w:sz="0" w:space="0" w:color="auto"/>
                  </w:divBdr>
                </w:div>
                <w:div w:id="112207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28580706</Template>
  <TotalTime>3</TotalTime>
  <Pages>4</Pages>
  <Words>1439</Words>
  <Characters>7920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2016-08-30T12:10:00Z</dcterms:created>
  <dcterms:modified xsi:type="dcterms:W3CDTF">2016-08-30T12:13:00Z</dcterms:modified>
</cp:coreProperties>
</file>