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0E51" w:rsidRPr="00EE0E51" w:rsidRDefault="00EE0E51" w:rsidP="00EE0E51">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EE0E51">
        <w:rPr>
          <w:rFonts w:ascii="Times New Roman" w:eastAsia="Times New Roman" w:hAnsi="Times New Roman" w:cs="Times New Roman"/>
          <w:sz w:val="24"/>
          <w:szCs w:val="24"/>
          <w:lang w:eastAsia="nl-NL"/>
        </w:rPr>
        <w:t>equest for expression of interest for selection # 1213729</w:t>
      </w:r>
    </w:p>
    <w:p w:rsidR="00EE0E51" w:rsidRDefault="00EE0E51" w:rsidP="00EE0E51">
      <w:pPr>
        <w:spacing w:after="0"/>
        <w:rPr>
          <w:rFonts w:ascii="Times New Roman" w:eastAsia="Times New Roman" w:hAnsi="Times New Roman" w:cs="Times New Roman"/>
          <w:sz w:val="24"/>
          <w:szCs w:val="24"/>
          <w:lang w:eastAsia="nl-NL"/>
        </w:rPr>
      </w:pP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Assignment Title</w:t>
      </w:r>
    </w:p>
    <w:p w:rsidR="00EE0E51" w:rsidRPr="00EE0E51" w:rsidRDefault="00EE0E51" w:rsidP="00EE0E51">
      <w:pPr>
        <w:spacing w:after="0"/>
        <w:rPr>
          <w:rFonts w:ascii="Times New Roman" w:eastAsia="Times New Roman" w:hAnsi="Times New Roman" w:cs="Times New Roman"/>
          <w:sz w:val="24"/>
          <w:szCs w:val="24"/>
          <w:lang w:eastAsia="nl-NL"/>
        </w:rPr>
      </w:pPr>
      <w:bookmarkStart w:id="0" w:name="_GoBack"/>
      <w:r w:rsidRPr="00EE0E51">
        <w:rPr>
          <w:rFonts w:ascii="Times New Roman" w:eastAsia="Times New Roman" w:hAnsi="Times New Roman" w:cs="Times New Roman"/>
          <w:sz w:val="24"/>
          <w:szCs w:val="24"/>
          <w:lang w:eastAsia="nl-NL"/>
        </w:rPr>
        <w:t>Scaling up Power Transmission in Africa</w:t>
      </w:r>
    </w:p>
    <w:bookmarkEnd w:id="0"/>
    <w:p w:rsidR="00EE0E51" w:rsidRDefault="00EE0E51" w:rsidP="00EE0E51">
      <w:pPr>
        <w:spacing w:after="0"/>
        <w:rPr>
          <w:rFonts w:ascii="Times New Roman" w:eastAsia="Times New Roman" w:hAnsi="Times New Roman" w:cs="Times New Roman"/>
          <w:sz w:val="24"/>
          <w:szCs w:val="24"/>
          <w:lang w:eastAsia="nl-NL"/>
        </w:rPr>
      </w:pP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Publication Date</w:t>
      </w: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 01-Mar-2016</w:t>
      </w:r>
    </w:p>
    <w:p w:rsidR="00EE0E51" w:rsidRDefault="00EE0E51" w:rsidP="00EE0E51">
      <w:pPr>
        <w:spacing w:after="0"/>
        <w:rPr>
          <w:rFonts w:ascii="Times New Roman" w:eastAsia="Times New Roman" w:hAnsi="Times New Roman" w:cs="Times New Roman"/>
          <w:sz w:val="24"/>
          <w:szCs w:val="24"/>
          <w:lang w:eastAsia="nl-NL"/>
        </w:rPr>
      </w:pP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Expression of Interest Deadline</w:t>
      </w: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 15-Mar-2016 at 11:59:59 PM (Eastern Time – Washington D.C.)</w:t>
      </w:r>
    </w:p>
    <w:p w:rsidR="00EE0E51" w:rsidRDefault="00EE0E51" w:rsidP="00EE0E51">
      <w:pPr>
        <w:spacing w:after="0"/>
        <w:rPr>
          <w:rFonts w:ascii="Times New Roman" w:eastAsia="Times New Roman" w:hAnsi="Times New Roman" w:cs="Times New Roman"/>
          <w:sz w:val="24"/>
          <w:szCs w:val="24"/>
          <w:lang w:eastAsia="nl-NL"/>
        </w:rPr>
      </w:pP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Language of Notice</w:t>
      </w: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 English</w:t>
      </w:r>
    </w:p>
    <w:p w:rsidR="00EE0E51" w:rsidRDefault="00EE0E51" w:rsidP="00EE0E51">
      <w:pPr>
        <w:spacing w:after="0"/>
        <w:rPr>
          <w:rFonts w:ascii="Times New Roman" w:eastAsia="Times New Roman" w:hAnsi="Times New Roman" w:cs="Times New Roman"/>
          <w:sz w:val="24"/>
          <w:szCs w:val="24"/>
          <w:lang w:eastAsia="nl-NL"/>
        </w:rPr>
      </w:pP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 xml:space="preserve">Selection Notice </w:t>
      </w:r>
    </w:p>
    <w:p w:rsidR="00EE0E51" w:rsidRPr="00EE0E51" w:rsidRDefault="00EE0E51" w:rsidP="00EE0E51">
      <w:pPr>
        <w:spacing w:after="0"/>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sz w:val="24"/>
          <w:szCs w:val="24"/>
          <w:lang w:val="nl-NL" w:eastAsia="nl-NL"/>
        </w:rPr>
        <w:t>Assignment Country</w:t>
      </w:r>
    </w:p>
    <w:p w:rsidR="00EE0E51" w:rsidRPr="00EE0E51" w:rsidRDefault="00EE0E51" w:rsidP="00EE0E5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sz w:val="24"/>
          <w:szCs w:val="24"/>
          <w:lang w:val="nl-NL" w:eastAsia="nl-NL"/>
        </w:rPr>
        <w:t>No Countries Assigned</w:t>
      </w:r>
    </w:p>
    <w:p w:rsidR="00EE0E51" w:rsidRPr="00EE0E51" w:rsidRDefault="00EE0E51" w:rsidP="00EE0E51">
      <w:pPr>
        <w:spacing w:after="0"/>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sz w:val="24"/>
          <w:szCs w:val="24"/>
          <w:lang w:val="nl-NL" w:eastAsia="nl-NL"/>
        </w:rPr>
        <w:t>Funding Sources</w:t>
      </w: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 xml:space="preserve">The World Bank Group intends to finance the assignment/services under: </w:t>
      </w:r>
    </w:p>
    <w:p w:rsidR="00EE0E51" w:rsidRPr="00EE0E51" w:rsidRDefault="00EE0E51" w:rsidP="00EE0E51">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TF0A2061 - Scaling up Power Transmission Investments in Africa (SUPTA)</w:t>
      </w:r>
    </w:p>
    <w:p w:rsidR="00EE0E51" w:rsidRPr="00EE0E51" w:rsidRDefault="00EE0E51" w:rsidP="00EE0E5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sz w:val="24"/>
          <w:szCs w:val="24"/>
          <w:lang w:val="nl-NL" w:eastAsia="nl-NL"/>
        </w:rPr>
        <w:t>BB - BANK BUDGET</w:t>
      </w:r>
    </w:p>
    <w:p w:rsidR="00EE0E51" w:rsidRPr="00EE0E51" w:rsidRDefault="00EE0E51" w:rsidP="00EE0E51">
      <w:pPr>
        <w:spacing w:after="0"/>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sz w:val="24"/>
          <w:szCs w:val="24"/>
          <w:lang w:val="nl-NL" w:eastAsia="nl-NL"/>
        </w:rPr>
        <w:t>Individual/Firm</w:t>
      </w:r>
    </w:p>
    <w:p w:rsid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 xml:space="preserve">The consultant will be a firm. </w:t>
      </w:r>
    </w:p>
    <w:p w:rsidR="00EE0E51" w:rsidRPr="00EE0E51" w:rsidRDefault="00EE0E51" w:rsidP="00EE0E51">
      <w:pPr>
        <w:spacing w:after="0"/>
        <w:rPr>
          <w:rFonts w:ascii="Times New Roman" w:eastAsia="Times New Roman" w:hAnsi="Times New Roman" w:cs="Times New Roman"/>
          <w:sz w:val="24"/>
          <w:szCs w:val="24"/>
          <w:lang w:eastAsia="nl-NL"/>
        </w:rPr>
      </w:pPr>
    </w:p>
    <w:p w:rsidR="00EE0E51" w:rsidRPr="00EE0E51" w:rsidRDefault="00EE0E51" w:rsidP="00EE0E51">
      <w:pPr>
        <w:spacing w:after="0"/>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sz w:val="24"/>
          <w:szCs w:val="24"/>
          <w:lang w:val="nl-NL" w:eastAsia="nl-NL"/>
        </w:rPr>
        <w:t xml:space="preserve">Assignment Description </w:t>
      </w:r>
    </w:p>
    <w:p w:rsid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SELECTION FOR CONSULTANTS BY THE WORLD BANK GROUP</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REQUEST FOR EXPRESSIONS OF INTEREST</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Electronic Submissions through World Bank Group eConsultant2</w:t>
      </w:r>
      <w:r w:rsidRPr="00EE0E51">
        <w:rPr>
          <w:rFonts w:ascii="Times New Roman" w:eastAsia="Times New Roman" w:hAnsi="Times New Roman" w:cs="Times New Roman"/>
          <w:sz w:val="24"/>
          <w:szCs w:val="24"/>
          <w:lang w:eastAsia="nl-NL"/>
        </w:rPr>
        <w:br/>
        <w:t>https://wbgeconsult2.worldbank.org/wbgec/index.html</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ASSIGNMENT OVERVIEW</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Assignment Title: 1213729 - Scaling up Power Transmission in Africa</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Assignment Countries:</w:t>
      </w:r>
      <w:r w:rsidRPr="00EE0E51">
        <w:rPr>
          <w:rFonts w:ascii="Times New Roman" w:eastAsia="Times New Roman" w:hAnsi="Times New Roman" w:cs="Times New Roman"/>
          <w:sz w:val="24"/>
          <w:szCs w:val="24"/>
          <w:lang w:eastAsia="nl-NL"/>
        </w:rPr>
        <w:br/>
        <w:t>- (countries have not yet been selected)</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ASSIGNMENT DESCRIPTION</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 xml:space="preserve">Access to electricity remains a global development challenge with about 1.4 billion people </w:t>
      </w:r>
      <w:r w:rsidRPr="00EE0E51">
        <w:rPr>
          <w:rFonts w:ascii="Times New Roman" w:eastAsia="Times New Roman" w:hAnsi="Times New Roman" w:cs="Times New Roman"/>
          <w:sz w:val="24"/>
          <w:szCs w:val="24"/>
          <w:lang w:eastAsia="nl-NL"/>
        </w:rPr>
        <w:lastRenderedPageBreak/>
        <w:t>lacking access to electricity. For achieving universal access to modern energy services by 2030, investments will need to grow by more than five-times to $40-50 billion a year - equivalent to around 3 percent of global energy investment. There is a disproportionately large (compared to other regions) funding gap affecting SSAs power sectors which cannot be met by the limited public finances of African countries alone. Private participation is inevitable and efficiency considerations dictate to foster private investments where it is more suitable along the energy value chain. While much of the focus in scaling up investments in the power sector has been on the upstream generation capacity expansion, corresponding levels of investments are also required for SSAs transmission segment, which today accounts for only 1 percent of global private sector investments in power sector, excluding generation. Without these transmission investments, there is a high risk of creating system bottlenecks, stranded generation assets, and the unfulfilled promise of service delivery and access promotion.</w:t>
      </w:r>
      <w:r w:rsidRPr="00EE0E51">
        <w:rPr>
          <w:rFonts w:ascii="Times New Roman" w:eastAsia="Times New Roman" w:hAnsi="Times New Roman" w:cs="Times New Roman"/>
          <w:sz w:val="24"/>
          <w:szCs w:val="24"/>
          <w:lang w:eastAsia="nl-NL"/>
        </w:rPr>
        <w:br/>
        <w:t>The high level objective of the proposed Scaling up Power Transmission in Africa (SUPTA) study is to support mobilization of private capital for greenfield power transmission investments (IPTs) in Africa. While private participation for IPPs, as well as IPTs has become standard investment mechanisms in Latin America (LAC), and much of South/East Asia (SAR); within Africa, PSP in the electricity sector has generally been limited only to IPPs. This study will analyze and expand the knowledge of frameworks and models and underlying ecosystems for scaling-up IPTs in Africa and to provide recommendations on specific pipeline transactions. The investigation will examine the underlying conditions in detail including (i) relevant sector legislation, policies, and regulation; (ii) public sector technical, planning, and financial capacity; (iii) financial structuring of transactions, availability of funding from multiple sources and access to international capital markets, as well as tariff structure reforms; and (iv) associated environmental and social compliance aspects. In order to provide a focused analytical discussion, the study will not go into detailed diagnostic of retail-end/distribution level issues (system to household, last-mile consumer connections), but focus on wholesale, system-to-system transmission networks only (high voltage lines).</w:t>
      </w:r>
      <w:r w:rsidRPr="00EE0E51">
        <w:rPr>
          <w:rFonts w:ascii="Times New Roman" w:eastAsia="Times New Roman" w:hAnsi="Times New Roman" w:cs="Times New Roman"/>
          <w:sz w:val="24"/>
          <w:szCs w:val="24"/>
          <w:lang w:eastAsia="nl-NL"/>
        </w:rPr>
        <w:br/>
      </w:r>
    </w:p>
    <w:p w:rsidR="00EE0E51" w:rsidRPr="00EE0E51" w:rsidRDefault="00EE0E51" w:rsidP="00EE0E51">
      <w:pPr>
        <w:spacing w:after="0"/>
        <w:rPr>
          <w:rFonts w:ascii="Times New Roman" w:eastAsia="Times New Roman" w:hAnsi="Times New Roman" w:cs="Times New Roman"/>
          <w:sz w:val="24"/>
          <w:szCs w:val="24"/>
          <w:lang w:eastAsia="nl-NL"/>
        </w:rPr>
      </w:pPr>
      <w:r w:rsidRPr="00EE0E51">
        <w:rPr>
          <w:rFonts w:ascii="Times New Roman" w:eastAsia="Times New Roman" w:hAnsi="Times New Roman" w:cs="Times New Roman"/>
          <w:sz w:val="24"/>
          <w:szCs w:val="24"/>
          <w:lang w:eastAsia="nl-NL"/>
        </w:rPr>
        <w:t>FUNDING SOURCE</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EE0E51">
        <w:rPr>
          <w:rFonts w:ascii="Times New Roman" w:eastAsia="Times New Roman" w:hAnsi="Times New Roman" w:cs="Times New Roman"/>
          <w:sz w:val="24"/>
          <w:szCs w:val="24"/>
          <w:lang w:eastAsia="nl-NL"/>
        </w:rPr>
        <w:br/>
        <w:t>- Scaling up Power Transmission Investments in Africa (SUPTA)</w:t>
      </w:r>
      <w:r w:rsidRPr="00EE0E51">
        <w:rPr>
          <w:rFonts w:ascii="Times New Roman" w:eastAsia="Times New Roman" w:hAnsi="Times New Roman" w:cs="Times New Roman"/>
          <w:sz w:val="24"/>
          <w:szCs w:val="24"/>
          <w:lang w:eastAsia="nl-NL"/>
        </w:rPr>
        <w:br/>
        <w:t>- BANK BUDGET</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ELIGIBILITY</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Eligibility restrictions apply:</w:t>
      </w:r>
      <w:r w:rsidRPr="00EE0E51">
        <w:rPr>
          <w:rFonts w:ascii="Times New Roman" w:eastAsia="Times New Roman" w:hAnsi="Times New Roman" w:cs="Times New Roman"/>
          <w:sz w:val="24"/>
          <w:szCs w:val="24"/>
          <w:lang w:eastAsia="nl-NL"/>
        </w:rPr>
        <w:br/>
        <w:t>[Please type list of restrictions]</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INDIVIDUAL / FIRM PROFILE</w:t>
      </w:r>
      <w:r w:rsidRPr="00EE0E51">
        <w:rPr>
          <w:rFonts w:ascii="Times New Roman" w:eastAsia="Times New Roman" w:hAnsi="Times New Roman" w:cs="Times New Roman"/>
          <w:sz w:val="24"/>
          <w:szCs w:val="24"/>
          <w:lang w:eastAsia="nl-NL"/>
        </w:rPr>
        <w:br/>
        <w:t xml:space="preserve">The consultant will be a firm. The lead consultant for this assignment will be a firm or organization with proven expertise, experience, and track record in preparation of detailed analytical studies in the power transmission segment, particularly within the Africa region. The lead Consultant may associate, as appropriate, with other specialists and/or firm as a sub-contractor to the lead firm; to enhance their qualifications and ability to effectively address the </w:t>
      </w:r>
      <w:r w:rsidRPr="00EE0E51">
        <w:rPr>
          <w:rFonts w:ascii="Times New Roman" w:eastAsia="Times New Roman" w:hAnsi="Times New Roman" w:cs="Times New Roman"/>
          <w:sz w:val="24"/>
          <w:szCs w:val="24"/>
          <w:lang w:eastAsia="nl-NL"/>
        </w:rPr>
        <w:lastRenderedPageBreak/>
        <w:t>scope of work outlined.</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SUBMISSION REQUIREMENTS</w:t>
      </w:r>
      <w:r w:rsidRPr="00EE0E51">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 Please include the following:</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 xml:space="preserve">Provide information showing that the firm and its proposed sub-contractors together are qualified in the fields of the assignment: expertise in transmission planning and financing (e.g. project finance structures), addressing regulatory framework and enabling policy framework related issues; expertise and experience in interpreting and integrating relevant inputs from a variety of stakeholders (public and private); and ability to provide deep analysis, drafting, editing and related services. </w:t>
      </w:r>
      <w:r w:rsidRPr="00EE0E51">
        <w:rPr>
          <w:rFonts w:ascii="Times New Roman" w:eastAsia="Times New Roman" w:hAnsi="Times New Roman" w:cs="Times New Roman"/>
          <w:sz w:val="24"/>
          <w:szCs w:val="24"/>
          <w:lang w:eastAsia="nl-NL"/>
        </w:rPr>
        <w:br/>
        <w:t>Provide information on the technical and managerial capabilities of the firm.</w:t>
      </w:r>
      <w:r w:rsidRPr="00EE0E51">
        <w:rPr>
          <w:rFonts w:ascii="Times New Roman" w:eastAsia="Times New Roman" w:hAnsi="Times New Roman" w:cs="Times New Roman"/>
          <w:sz w:val="24"/>
          <w:szCs w:val="24"/>
          <w:lang w:eastAsia="nl-NL"/>
        </w:rPr>
        <w:br/>
        <w:t>Provide information on their core business and years in business.</w:t>
      </w:r>
      <w:r w:rsidRPr="00EE0E51">
        <w:rPr>
          <w:rFonts w:ascii="Times New Roman" w:eastAsia="Times New Roman" w:hAnsi="Times New Roman" w:cs="Times New Roman"/>
          <w:sz w:val="24"/>
          <w:szCs w:val="24"/>
          <w:lang w:eastAsia="nl-NL"/>
        </w:rPr>
        <w:br/>
        <w:t>Provide information on the qualifications of key staff to be assigned</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Interested firms are hereby invited to submit expressions of interest.</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EE0E51">
        <w:rPr>
          <w:rFonts w:ascii="Times New Roman" w:eastAsia="Times New Roman" w:hAnsi="Times New Roman" w:cs="Times New Roman"/>
          <w:sz w:val="24"/>
          <w:szCs w:val="24"/>
          <w:lang w:eastAsia="nl-NL"/>
        </w:rPr>
        <w:br/>
      </w:r>
      <w:r w:rsidRPr="00EE0E51">
        <w:rPr>
          <w:rFonts w:ascii="Times New Roman" w:eastAsia="Times New Roman" w:hAnsi="Times New Roman" w:cs="Times New Roman"/>
          <w:sz w:val="24"/>
          <w:szCs w:val="24"/>
          <w:lang w:eastAsia="nl-NL"/>
        </w:rPr>
        <w:br/>
        <w:t>NOTES</w:t>
      </w:r>
      <w:r w:rsidRPr="00EE0E51">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EE0E51" w:rsidRPr="00EE0E51" w:rsidRDefault="00EE0E51" w:rsidP="00EE0E51">
      <w:pPr>
        <w:spacing w:after="0"/>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sz w:val="24"/>
          <w:szCs w:val="24"/>
          <w:lang w:val="nl-NL" w:eastAsia="nl-NL"/>
        </w:rPr>
        <w:t xml:space="preserve">Qualification Criteria </w:t>
      </w:r>
    </w:p>
    <w:p w:rsidR="00EE0E51" w:rsidRPr="00EE0E51" w:rsidRDefault="00EE0E51" w:rsidP="00EE0E5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E0E51">
        <w:rPr>
          <w:rFonts w:ascii="Times New Roman" w:eastAsia="Times New Roman" w:hAnsi="Times New Roman" w:cs="Times New Roman"/>
          <w:b/>
          <w:bCs/>
          <w:sz w:val="24"/>
          <w:szCs w:val="24"/>
          <w:lang w:eastAsia="nl-NL"/>
        </w:rPr>
        <w:t>1.</w:t>
      </w:r>
      <w:r w:rsidRPr="00EE0E51">
        <w:rPr>
          <w:rFonts w:ascii="Times New Roman" w:eastAsia="Times New Roman" w:hAnsi="Times New Roman" w:cs="Times New Roman"/>
          <w:sz w:val="24"/>
          <w:szCs w:val="24"/>
          <w:lang w:eastAsia="nl-NL"/>
        </w:rPr>
        <w:t xml:space="preserve"> Provide information showing that they are qualified in the field of the assignment (general capabilities) *</w:t>
      </w:r>
    </w:p>
    <w:p w:rsidR="00EE0E51" w:rsidRPr="00EE0E51" w:rsidRDefault="00EE0E51" w:rsidP="00EE0E5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b/>
          <w:bCs/>
          <w:sz w:val="24"/>
          <w:szCs w:val="24"/>
          <w:lang w:eastAsia="nl-NL"/>
        </w:rPr>
        <w:t>2.</w:t>
      </w:r>
      <w:r w:rsidRPr="00EE0E51">
        <w:rPr>
          <w:rFonts w:ascii="Times New Roman" w:eastAsia="Times New Roman" w:hAnsi="Times New Roman" w:cs="Times New Roman"/>
          <w:sz w:val="24"/>
          <w:szCs w:val="24"/>
          <w:lang w:eastAsia="nl-NL"/>
        </w:rPr>
        <w:t xml:space="preserve"> Provide information on the technical and managerial capabilities of the firm. </w:t>
      </w:r>
      <w:r w:rsidRPr="00EE0E51">
        <w:rPr>
          <w:rFonts w:ascii="Times New Roman" w:eastAsia="Times New Roman" w:hAnsi="Times New Roman" w:cs="Times New Roman"/>
          <w:sz w:val="24"/>
          <w:szCs w:val="24"/>
          <w:lang w:val="nl-NL" w:eastAsia="nl-NL"/>
        </w:rPr>
        <w:t>(key staff) *</w:t>
      </w:r>
    </w:p>
    <w:p w:rsidR="00EE0E51" w:rsidRPr="00EE0E51" w:rsidRDefault="00EE0E51" w:rsidP="00EE0E5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E0E51">
        <w:rPr>
          <w:rFonts w:ascii="Times New Roman" w:eastAsia="Times New Roman" w:hAnsi="Times New Roman" w:cs="Times New Roman"/>
          <w:b/>
          <w:bCs/>
          <w:sz w:val="24"/>
          <w:szCs w:val="24"/>
          <w:lang w:eastAsia="nl-NL"/>
        </w:rPr>
        <w:t>3.</w:t>
      </w:r>
      <w:r w:rsidRPr="00EE0E51">
        <w:rPr>
          <w:rFonts w:ascii="Times New Roman" w:eastAsia="Times New Roman" w:hAnsi="Times New Roman" w:cs="Times New Roman"/>
          <w:sz w:val="24"/>
          <w:szCs w:val="24"/>
          <w:lang w:eastAsia="nl-NL"/>
        </w:rPr>
        <w:t xml:space="preserve"> Provide information related to similar engagements in power (especially transmission) sector *</w:t>
      </w:r>
    </w:p>
    <w:p w:rsidR="00EE0E51" w:rsidRPr="00EE0E51" w:rsidRDefault="00EE0E51" w:rsidP="00EE0E5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E0E51">
        <w:rPr>
          <w:rFonts w:ascii="Times New Roman" w:eastAsia="Times New Roman" w:hAnsi="Times New Roman" w:cs="Times New Roman"/>
          <w:b/>
          <w:bCs/>
          <w:sz w:val="24"/>
          <w:szCs w:val="24"/>
          <w:lang w:eastAsia="nl-NL"/>
        </w:rPr>
        <w:t>4.</w:t>
      </w:r>
      <w:r w:rsidRPr="00EE0E51">
        <w:rPr>
          <w:rFonts w:ascii="Times New Roman" w:eastAsia="Times New Roman" w:hAnsi="Times New Roman" w:cs="Times New Roman"/>
          <w:sz w:val="24"/>
          <w:szCs w:val="24"/>
          <w:lang w:eastAsia="nl-NL"/>
        </w:rPr>
        <w:t xml:space="preserve"> Provide information related to similar engagements in Africa *</w:t>
      </w:r>
    </w:p>
    <w:p w:rsidR="00EE0E51" w:rsidRPr="00EE0E51" w:rsidRDefault="00EE0E51" w:rsidP="00EE0E51">
      <w:pPr>
        <w:spacing w:after="0"/>
        <w:rPr>
          <w:rFonts w:ascii="Times New Roman" w:eastAsia="Times New Roman" w:hAnsi="Times New Roman" w:cs="Times New Roman"/>
          <w:sz w:val="24"/>
          <w:szCs w:val="24"/>
          <w:lang w:val="nl-NL" w:eastAsia="nl-NL"/>
        </w:rPr>
      </w:pPr>
      <w:r w:rsidRPr="00EE0E51">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70F4D"/>
    <w:multiLevelType w:val="multilevel"/>
    <w:tmpl w:val="63320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B73F46"/>
    <w:multiLevelType w:val="multilevel"/>
    <w:tmpl w:val="41A02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7C7E66"/>
    <w:multiLevelType w:val="multilevel"/>
    <w:tmpl w:val="A844B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0E51"/>
    <w:rsid w:val="00413C42"/>
    <w:rsid w:val="00D309B7"/>
    <w:rsid w:val="00EE0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2472221">
      <w:bodyDiv w:val="1"/>
      <w:marLeft w:val="0"/>
      <w:marRight w:val="0"/>
      <w:marTop w:val="0"/>
      <w:marBottom w:val="0"/>
      <w:divBdr>
        <w:top w:val="none" w:sz="0" w:space="0" w:color="auto"/>
        <w:left w:val="none" w:sz="0" w:space="0" w:color="auto"/>
        <w:bottom w:val="none" w:sz="0" w:space="0" w:color="auto"/>
        <w:right w:val="none" w:sz="0" w:space="0" w:color="auto"/>
      </w:divBdr>
      <w:divsChild>
        <w:div w:id="1537811966">
          <w:marLeft w:val="0"/>
          <w:marRight w:val="0"/>
          <w:marTop w:val="0"/>
          <w:marBottom w:val="0"/>
          <w:divBdr>
            <w:top w:val="none" w:sz="0" w:space="0" w:color="auto"/>
            <w:left w:val="none" w:sz="0" w:space="0" w:color="auto"/>
            <w:bottom w:val="none" w:sz="0" w:space="0" w:color="auto"/>
            <w:right w:val="none" w:sz="0" w:space="0" w:color="auto"/>
          </w:divBdr>
        </w:div>
        <w:div w:id="329676794">
          <w:marLeft w:val="0"/>
          <w:marRight w:val="0"/>
          <w:marTop w:val="0"/>
          <w:marBottom w:val="0"/>
          <w:divBdr>
            <w:top w:val="none" w:sz="0" w:space="0" w:color="auto"/>
            <w:left w:val="none" w:sz="0" w:space="0" w:color="auto"/>
            <w:bottom w:val="none" w:sz="0" w:space="0" w:color="auto"/>
            <w:right w:val="none" w:sz="0" w:space="0" w:color="auto"/>
          </w:divBdr>
          <w:divsChild>
            <w:div w:id="419135391">
              <w:marLeft w:val="0"/>
              <w:marRight w:val="0"/>
              <w:marTop w:val="0"/>
              <w:marBottom w:val="0"/>
              <w:divBdr>
                <w:top w:val="none" w:sz="0" w:space="0" w:color="auto"/>
                <w:left w:val="none" w:sz="0" w:space="0" w:color="auto"/>
                <w:bottom w:val="none" w:sz="0" w:space="0" w:color="auto"/>
                <w:right w:val="none" w:sz="0" w:space="0" w:color="auto"/>
              </w:divBdr>
              <w:divsChild>
                <w:div w:id="444691621">
                  <w:marLeft w:val="0"/>
                  <w:marRight w:val="0"/>
                  <w:marTop w:val="0"/>
                  <w:marBottom w:val="0"/>
                  <w:divBdr>
                    <w:top w:val="none" w:sz="0" w:space="0" w:color="auto"/>
                    <w:left w:val="none" w:sz="0" w:space="0" w:color="auto"/>
                    <w:bottom w:val="none" w:sz="0" w:space="0" w:color="auto"/>
                    <w:right w:val="none" w:sz="0" w:space="0" w:color="auto"/>
                  </w:divBdr>
                </w:div>
              </w:divsChild>
            </w:div>
            <w:div w:id="1557739868">
              <w:marLeft w:val="0"/>
              <w:marRight w:val="0"/>
              <w:marTop w:val="0"/>
              <w:marBottom w:val="0"/>
              <w:divBdr>
                <w:top w:val="none" w:sz="0" w:space="0" w:color="auto"/>
                <w:left w:val="none" w:sz="0" w:space="0" w:color="auto"/>
                <w:bottom w:val="none" w:sz="0" w:space="0" w:color="auto"/>
                <w:right w:val="none" w:sz="0" w:space="0" w:color="auto"/>
              </w:divBdr>
              <w:divsChild>
                <w:div w:id="456679769">
                  <w:marLeft w:val="0"/>
                  <w:marRight w:val="0"/>
                  <w:marTop w:val="0"/>
                  <w:marBottom w:val="0"/>
                  <w:divBdr>
                    <w:top w:val="none" w:sz="0" w:space="0" w:color="auto"/>
                    <w:left w:val="none" w:sz="0" w:space="0" w:color="auto"/>
                    <w:bottom w:val="none" w:sz="0" w:space="0" w:color="auto"/>
                    <w:right w:val="none" w:sz="0" w:space="0" w:color="auto"/>
                  </w:divBdr>
                </w:div>
                <w:div w:id="899436602">
                  <w:marLeft w:val="0"/>
                  <w:marRight w:val="0"/>
                  <w:marTop w:val="0"/>
                  <w:marBottom w:val="0"/>
                  <w:divBdr>
                    <w:top w:val="none" w:sz="0" w:space="0" w:color="auto"/>
                    <w:left w:val="none" w:sz="0" w:space="0" w:color="auto"/>
                    <w:bottom w:val="none" w:sz="0" w:space="0" w:color="auto"/>
                    <w:right w:val="none" w:sz="0" w:space="0" w:color="auto"/>
                  </w:divBdr>
                </w:div>
              </w:divsChild>
            </w:div>
            <w:div w:id="2044208329">
              <w:marLeft w:val="0"/>
              <w:marRight w:val="0"/>
              <w:marTop w:val="0"/>
              <w:marBottom w:val="0"/>
              <w:divBdr>
                <w:top w:val="none" w:sz="0" w:space="0" w:color="auto"/>
                <w:left w:val="none" w:sz="0" w:space="0" w:color="auto"/>
                <w:bottom w:val="none" w:sz="0" w:space="0" w:color="auto"/>
                <w:right w:val="none" w:sz="0" w:space="0" w:color="auto"/>
              </w:divBdr>
              <w:divsChild>
                <w:div w:id="206452586">
                  <w:marLeft w:val="0"/>
                  <w:marRight w:val="0"/>
                  <w:marTop w:val="0"/>
                  <w:marBottom w:val="0"/>
                  <w:divBdr>
                    <w:top w:val="none" w:sz="0" w:space="0" w:color="auto"/>
                    <w:left w:val="none" w:sz="0" w:space="0" w:color="auto"/>
                    <w:bottom w:val="none" w:sz="0" w:space="0" w:color="auto"/>
                    <w:right w:val="none" w:sz="0" w:space="0" w:color="auto"/>
                  </w:divBdr>
                </w:div>
                <w:div w:id="2084988208">
                  <w:marLeft w:val="0"/>
                  <w:marRight w:val="0"/>
                  <w:marTop w:val="0"/>
                  <w:marBottom w:val="0"/>
                  <w:divBdr>
                    <w:top w:val="none" w:sz="0" w:space="0" w:color="auto"/>
                    <w:left w:val="none" w:sz="0" w:space="0" w:color="auto"/>
                    <w:bottom w:val="none" w:sz="0" w:space="0" w:color="auto"/>
                    <w:right w:val="none" w:sz="0" w:space="0" w:color="auto"/>
                  </w:divBdr>
                </w:div>
              </w:divsChild>
            </w:div>
            <w:div w:id="1898277475">
              <w:marLeft w:val="0"/>
              <w:marRight w:val="0"/>
              <w:marTop w:val="0"/>
              <w:marBottom w:val="0"/>
              <w:divBdr>
                <w:top w:val="none" w:sz="0" w:space="0" w:color="auto"/>
                <w:left w:val="none" w:sz="0" w:space="0" w:color="auto"/>
                <w:bottom w:val="none" w:sz="0" w:space="0" w:color="auto"/>
                <w:right w:val="none" w:sz="0" w:space="0" w:color="auto"/>
              </w:divBdr>
              <w:divsChild>
                <w:div w:id="1164978303">
                  <w:marLeft w:val="0"/>
                  <w:marRight w:val="0"/>
                  <w:marTop w:val="0"/>
                  <w:marBottom w:val="0"/>
                  <w:divBdr>
                    <w:top w:val="none" w:sz="0" w:space="0" w:color="auto"/>
                    <w:left w:val="none" w:sz="0" w:space="0" w:color="auto"/>
                    <w:bottom w:val="none" w:sz="0" w:space="0" w:color="auto"/>
                    <w:right w:val="none" w:sz="0" w:space="0" w:color="auto"/>
                  </w:divBdr>
                </w:div>
                <w:div w:id="553345581">
                  <w:marLeft w:val="0"/>
                  <w:marRight w:val="0"/>
                  <w:marTop w:val="0"/>
                  <w:marBottom w:val="0"/>
                  <w:divBdr>
                    <w:top w:val="none" w:sz="0" w:space="0" w:color="auto"/>
                    <w:left w:val="none" w:sz="0" w:space="0" w:color="auto"/>
                    <w:bottom w:val="none" w:sz="0" w:space="0" w:color="auto"/>
                    <w:right w:val="none" w:sz="0" w:space="0" w:color="auto"/>
                  </w:divBdr>
                </w:div>
              </w:divsChild>
            </w:div>
            <w:div w:id="1106192499">
              <w:marLeft w:val="0"/>
              <w:marRight w:val="0"/>
              <w:marTop w:val="0"/>
              <w:marBottom w:val="0"/>
              <w:divBdr>
                <w:top w:val="none" w:sz="0" w:space="0" w:color="auto"/>
                <w:left w:val="none" w:sz="0" w:space="0" w:color="auto"/>
                <w:bottom w:val="none" w:sz="0" w:space="0" w:color="auto"/>
                <w:right w:val="none" w:sz="0" w:space="0" w:color="auto"/>
              </w:divBdr>
              <w:divsChild>
                <w:div w:id="131214666">
                  <w:marLeft w:val="0"/>
                  <w:marRight w:val="0"/>
                  <w:marTop w:val="0"/>
                  <w:marBottom w:val="0"/>
                  <w:divBdr>
                    <w:top w:val="none" w:sz="0" w:space="0" w:color="auto"/>
                    <w:left w:val="none" w:sz="0" w:space="0" w:color="auto"/>
                    <w:bottom w:val="none" w:sz="0" w:space="0" w:color="auto"/>
                    <w:right w:val="none" w:sz="0" w:space="0" w:color="auto"/>
                  </w:divBdr>
                </w:div>
                <w:div w:id="2034308740">
                  <w:marLeft w:val="0"/>
                  <w:marRight w:val="0"/>
                  <w:marTop w:val="0"/>
                  <w:marBottom w:val="0"/>
                  <w:divBdr>
                    <w:top w:val="none" w:sz="0" w:space="0" w:color="auto"/>
                    <w:left w:val="none" w:sz="0" w:space="0" w:color="auto"/>
                    <w:bottom w:val="none" w:sz="0" w:space="0" w:color="auto"/>
                    <w:right w:val="none" w:sz="0" w:space="0" w:color="auto"/>
                  </w:divBdr>
                </w:div>
              </w:divsChild>
            </w:div>
            <w:div w:id="281230602">
              <w:marLeft w:val="0"/>
              <w:marRight w:val="0"/>
              <w:marTop w:val="0"/>
              <w:marBottom w:val="0"/>
              <w:divBdr>
                <w:top w:val="none" w:sz="0" w:space="0" w:color="auto"/>
                <w:left w:val="none" w:sz="0" w:space="0" w:color="auto"/>
                <w:bottom w:val="none" w:sz="0" w:space="0" w:color="auto"/>
                <w:right w:val="none" w:sz="0" w:space="0" w:color="auto"/>
              </w:divBdr>
              <w:divsChild>
                <w:div w:id="1275013191">
                  <w:marLeft w:val="0"/>
                  <w:marRight w:val="0"/>
                  <w:marTop w:val="0"/>
                  <w:marBottom w:val="0"/>
                  <w:divBdr>
                    <w:top w:val="none" w:sz="0" w:space="0" w:color="auto"/>
                    <w:left w:val="none" w:sz="0" w:space="0" w:color="auto"/>
                    <w:bottom w:val="none" w:sz="0" w:space="0" w:color="auto"/>
                    <w:right w:val="none" w:sz="0" w:space="0" w:color="auto"/>
                  </w:divBdr>
                </w:div>
                <w:div w:id="844437386">
                  <w:marLeft w:val="0"/>
                  <w:marRight w:val="0"/>
                  <w:marTop w:val="0"/>
                  <w:marBottom w:val="0"/>
                  <w:divBdr>
                    <w:top w:val="none" w:sz="0" w:space="0" w:color="auto"/>
                    <w:left w:val="none" w:sz="0" w:space="0" w:color="auto"/>
                    <w:bottom w:val="none" w:sz="0" w:space="0" w:color="auto"/>
                    <w:right w:val="none" w:sz="0" w:space="0" w:color="auto"/>
                  </w:divBdr>
                </w:div>
              </w:divsChild>
            </w:div>
            <w:div w:id="773138938">
              <w:marLeft w:val="0"/>
              <w:marRight w:val="0"/>
              <w:marTop w:val="0"/>
              <w:marBottom w:val="0"/>
              <w:divBdr>
                <w:top w:val="none" w:sz="0" w:space="0" w:color="auto"/>
                <w:left w:val="none" w:sz="0" w:space="0" w:color="auto"/>
                <w:bottom w:val="none" w:sz="0" w:space="0" w:color="auto"/>
                <w:right w:val="none" w:sz="0" w:space="0" w:color="auto"/>
              </w:divBdr>
              <w:divsChild>
                <w:div w:id="897545276">
                  <w:marLeft w:val="0"/>
                  <w:marRight w:val="0"/>
                  <w:marTop w:val="0"/>
                  <w:marBottom w:val="0"/>
                  <w:divBdr>
                    <w:top w:val="none" w:sz="0" w:space="0" w:color="auto"/>
                    <w:left w:val="none" w:sz="0" w:space="0" w:color="auto"/>
                    <w:bottom w:val="none" w:sz="0" w:space="0" w:color="auto"/>
                    <w:right w:val="none" w:sz="0" w:space="0" w:color="auto"/>
                  </w:divBdr>
                </w:div>
                <w:div w:id="531116153">
                  <w:marLeft w:val="0"/>
                  <w:marRight w:val="0"/>
                  <w:marTop w:val="0"/>
                  <w:marBottom w:val="0"/>
                  <w:divBdr>
                    <w:top w:val="none" w:sz="0" w:space="0" w:color="auto"/>
                    <w:left w:val="none" w:sz="0" w:space="0" w:color="auto"/>
                    <w:bottom w:val="none" w:sz="0" w:space="0" w:color="auto"/>
                    <w:right w:val="none" w:sz="0" w:space="0" w:color="auto"/>
                  </w:divBdr>
                </w:div>
              </w:divsChild>
            </w:div>
            <w:div w:id="526529435">
              <w:marLeft w:val="0"/>
              <w:marRight w:val="0"/>
              <w:marTop w:val="0"/>
              <w:marBottom w:val="0"/>
              <w:divBdr>
                <w:top w:val="none" w:sz="0" w:space="0" w:color="auto"/>
                <w:left w:val="none" w:sz="0" w:space="0" w:color="auto"/>
                <w:bottom w:val="none" w:sz="0" w:space="0" w:color="auto"/>
                <w:right w:val="none" w:sz="0" w:space="0" w:color="auto"/>
              </w:divBdr>
              <w:divsChild>
                <w:div w:id="27873164">
                  <w:marLeft w:val="0"/>
                  <w:marRight w:val="0"/>
                  <w:marTop w:val="0"/>
                  <w:marBottom w:val="0"/>
                  <w:divBdr>
                    <w:top w:val="none" w:sz="0" w:space="0" w:color="auto"/>
                    <w:left w:val="none" w:sz="0" w:space="0" w:color="auto"/>
                    <w:bottom w:val="none" w:sz="0" w:space="0" w:color="auto"/>
                    <w:right w:val="none" w:sz="0" w:space="0" w:color="auto"/>
                  </w:divBdr>
                </w:div>
                <w:div w:id="1612080326">
                  <w:marLeft w:val="0"/>
                  <w:marRight w:val="0"/>
                  <w:marTop w:val="0"/>
                  <w:marBottom w:val="0"/>
                  <w:divBdr>
                    <w:top w:val="none" w:sz="0" w:space="0" w:color="auto"/>
                    <w:left w:val="none" w:sz="0" w:space="0" w:color="auto"/>
                    <w:bottom w:val="none" w:sz="0" w:space="0" w:color="auto"/>
                    <w:right w:val="none" w:sz="0" w:space="0" w:color="auto"/>
                  </w:divBdr>
                </w:div>
              </w:divsChild>
            </w:div>
            <w:div w:id="1522888928">
              <w:marLeft w:val="0"/>
              <w:marRight w:val="0"/>
              <w:marTop w:val="0"/>
              <w:marBottom w:val="0"/>
              <w:divBdr>
                <w:top w:val="none" w:sz="0" w:space="0" w:color="auto"/>
                <w:left w:val="none" w:sz="0" w:space="0" w:color="auto"/>
                <w:bottom w:val="none" w:sz="0" w:space="0" w:color="auto"/>
                <w:right w:val="none" w:sz="0" w:space="0" w:color="auto"/>
              </w:divBdr>
            </w:div>
            <w:div w:id="512646418">
              <w:marLeft w:val="0"/>
              <w:marRight w:val="0"/>
              <w:marTop w:val="0"/>
              <w:marBottom w:val="0"/>
              <w:divBdr>
                <w:top w:val="none" w:sz="0" w:space="0" w:color="auto"/>
                <w:left w:val="none" w:sz="0" w:space="0" w:color="auto"/>
                <w:bottom w:val="none" w:sz="0" w:space="0" w:color="auto"/>
                <w:right w:val="none" w:sz="0" w:space="0" w:color="auto"/>
              </w:divBdr>
              <w:divsChild>
                <w:div w:id="896235924">
                  <w:marLeft w:val="0"/>
                  <w:marRight w:val="0"/>
                  <w:marTop w:val="0"/>
                  <w:marBottom w:val="0"/>
                  <w:divBdr>
                    <w:top w:val="none" w:sz="0" w:space="0" w:color="auto"/>
                    <w:left w:val="none" w:sz="0" w:space="0" w:color="auto"/>
                    <w:bottom w:val="none" w:sz="0" w:space="0" w:color="auto"/>
                    <w:right w:val="none" w:sz="0" w:space="0" w:color="auto"/>
                  </w:divBdr>
                </w:div>
                <w:div w:id="118097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C1C39A81</Template>
  <TotalTime>60</TotalTime>
  <Pages>3</Pages>
  <Words>994</Words>
  <Characters>5469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2016-03-01T13:56:00Z</dcterms:created>
  <dcterms:modified xsi:type="dcterms:W3CDTF">2016-03-01T14:56:00Z</dcterms:modified>
</cp:coreProperties>
</file>