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A2E" w:rsidRPr="00471A2E" w:rsidRDefault="00471A2E" w:rsidP="00471A2E">
      <w:pPr>
        <w:spacing w:after="0"/>
        <w:rPr>
          <w:rFonts w:ascii="Arial" w:eastAsia="Times New Roman" w:hAnsi="Arial" w:cs="Arial"/>
          <w:b/>
          <w:sz w:val="24"/>
          <w:szCs w:val="20"/>
          <w:lang w:eastAsia="nl-NL"/>
        </w:rPr>
      </w:pPr>
      <w:r w:rsidRPr="00471A2E">
        <w:rPr>
          <w:rFonts w:ascii="Arial" w:eastAsia="Times New Roman" w:hAnsi="Arial" w:cs="Arial"/>
          <w:b/>
          <w:sz w:val="24"/>
          <w:szCs w:val="20"/>
          <w:lang w:eastAsia="nl-NL"/>
        </w:rPr>
        <w:t>Recommended PPP Contractual Provisions Initiative</w:t>
      </w:r>
      <w:r w:rsidRPr="00471A2E">
        <w:rPr>
          <w:rFonts w:ascii="Arial" w:eastAsia="Times New Roman" w:hAnsi="Arial" w:cs="Arial"/>
          <w:b/>
          <w:sz w:val="24"/>
          <w:szCs w:val="20"/>
          <w:lang w:eastAsia="nl-NL"/>
        </w:rPr>
        <w:t xml:space="preserve"> #1211208</w:t>
      </w:r>
    </w:p>
    <w:p w:rsidR="00471A2E" w:rsidRPr="00471A2E" w:rsidRDefault="00471A2E" w:rsidP="00471A2E">
      <w:pPr>
        <w:spacing w:after="0"/>
        <w:rPr>
          <w:rFonts w:ascii="Arial" w:eastAsia="Times New Roman" w:hAnsi="Arial" w:cs="Arial"/>
          <w:b/>
          <w:sz w:val="20"/>
          <w:szCs w:val="20"/>
          <w:lang w:eastAsia="nl-NL"/>
        </w:rPr>
      </w:pPr>
    </w:p>
    <w:p w:rsidR="00471A2E" w:rsidRPr="00471A2E" w:rsidRDefault="00471A2E" w:rsidP="00471A2E">
      <w:pPr>
        <w:spacing w:after="0"/>
        <w:rPr>
          <w:rFonts w:ascii="Arial" w:eastAsia="Times New Roman" w:hAnsi="Arial" w:cs="Arial"/>
          <w:b/>
          <w:sz w:val="20"/>
          <w:szCs w:val="20"/>
          <w:lang w:eastAsia="nl-NL"/>
        </w:rPr>
      </w:pPr>
      <w:r w:rsidRPr="00471A2E">
        <w:rPr>
          <w:rFonts w:ascii="Arial" w:eastAsia="Times New Roman" w:hAnsi="Arial" w:cs="Arial"/>
          <w:b/>
          <w:sz w:val="20"/>
          <w:szCs w:val="20"/>
          <w:lang w:eastAsia="nl-NL"/>
        </w:rPr>
        <w:t>Assignment Title</w:t>
      </w:r>
    </w:p>
    <w:p w:rsidR="00471A2E" w:rsidRPr="00471A2E" w:rsidRDefault="00471A2E" w:rsidP="00471A2E">
      <w:pPr>
        <w:spacing w:after="0"/>
        <w:rPr>
          <w:rFonts w:ascii="Arial" w:eastAsia="Times New Roman" w:hAnsi="Arial" w:cs="Arial"/>
          <w:sz w:val="20"/>
          <w:szCs w:val="20"/>
          <w:lang w:eastAsia="nl-NL"/>
        </w:rPr>
      </w:pPr>
      <w:r w:rsidRPr="00471A2E">
        <w:rPr>
          <w:rFonts w:ascii="Arial" w:eastAsia="Times New Roman" w:hAnsi="Arial" w:cs="Arial"/>
          <w:sz w:val="20"/>
          <w:szCs w:val="20"/>
          <w:lang w:eastAsia="nl-NL"/>
        </w:rPr>
        <w:t>Recommended PPP Contractual Provisions Initiative</w:t>
      </w:r>
    </w:p>
    <w:p w:rsidR="00471A2E" w:rsidRPr="00471A2E" w:rsidRDefault="00471A2E" w:rsidP="00471A2E">
      <w:pPr>
        <w:spacing w:after="0"/>
        <w:rPr>
          <w:rFonts w:ascii="Arial" w:eastAsia="Times New Roman" w:hAnsi="Arial" w:cs="Arial"/>
          <w:sz w:val="20"/>
          <w:szCs w:val="20"/>
          <w:lang w:eastAsia="nl-NL"/>
        </w:rPr>
      </w:pPr>
    </w:p>
    <w:p w:rsidR="00471A2E" w:rsidRPr="00471A2E" w:rsidRDefault="00471A2E" w:rsidP="00471A2E">
      <w:pPr>
        <w:spacing w:after="0"/>
        <w:rPr>
          <w:rFonts w:ascii="Arial" w:eastAsia="Times New Roman" w:hAnsi="Arial" w:cs="Arial"/>
          <w:b/>
          <w:sz w:val="20"/>
          <w:szCs w:val="20"/>
          <w:lang w:eastAsia="nl-NL"/>
        </w:rPr>
      </w:pPr>
      <w:r w:rsidRPr="00471A2E">
        <w:rPr>
          <w:rFonts w:ascii="Arial" w:eastAsia="Times New Roman" w:hAnsi="Arial" w:cs="Arial"/>
          <w:b/>
          <w:sz w:val="20"/>
          <w:szCs w:val="20"/>
          <w:lang w:eastAsia="nl-NL"/>
        </w:rPr>
        <w:t>Publication Date</w:t>
      </w:r>
    </w:p>
    <w:p w:rsidR="00471A2E" w:rsidRPr="00471A2E" w:rsidRDefault="00471A2E" w:rsidP="00471A2E">
      <w:pPr>
        <w:spacing w:after="0"/>
        <w:rPr>
          <w:rFonts w:ascii="Arial" w:eastAsia="Times New Roman" w:hAnsi="Arial" w:cs="Arial"/>
          <w:sz w:val="20"/>
          <w:szCs w:val="20"/>
          <w:lang w:eastAsia="nl-NL"/>
        </w:rPr>
      </w:pPr>
      <w:r w:rsidRPr="00471A2E">
        <w:rPr>
          <w:rFonts w:ascii="Arial" w:eastAsia="Times New Roman" w:hAnsi="Arial" w:cs="Arial"/>
          <w:sz w:val="20"/>
          <w:szCs w:val="20"/>
          <w:lang w:eastAsia="nl-NL"/>
        </w:rPr>
        <w:t> 20-Jan-2016</w:t>
      </w:r>
    </w:p>
    <w:p w:rsidR="00471A2E" w:rsidRPr="00471A2E" w:rsidRDefault="00471A2E" w:rsidP="00471A2E">
      <w:pPr>
        <w:spacing w:after="0"/>
        <w:rPr>
          <w:rFonts w:ascii="Arial" w:eastAsia="Times New Roman" w:hAnsi="Arial" w:cs="Arial"/>
          <w:sz w:val="20"/>
          <w:szCs w:val="20"/>
          <w:lang w:eastAsia="nl-NL"/>
        </w:rPr>
      </w:pPr>
    </w:p>
    <w:p w:rsidR="00471A2E" w:rsidRPr="00471A2E" w:rsidRDefault="00471A2E" w:rsidP="00471A2E">
      <w:pPr>
        <w:spacing w:after="0"/>
        <w:rPr>
          <w:rFonts w:ascii="Arial" w:eastAsia="Times New Roman" w:hAnsi="Arial" w:cs="Arial"/>
          <w:b/>
          <w:sz w:val="20"/>
          <w:szCs w:val="20"/>
          <w:lang w:eastAsia="nl-NL"/>
        </w:rPr>
      </w:pPr>
      <w:r w:rsidRPr="00471A2E">
        <w:rPr>
          <w:rFonts w:ascii="Arial" w:eastAsia="Times New Roman" w:hAnsi="Arial" w:cs="Arial"/>
          <w:b/>
          <w:sz w:val="20"/>
          <w:szCs w:val="20"/>
          <w:lang w:eastAsia="nl-NL"/>
        </w:rPr>
        <w:t>Expression of Interest Deadline</w:t>
      </w:r>
    </w:p>
    <w:p w:rsidR="00471A2E" w:rsidRPr="00471A2E" w:rsidRDefault="00471A2E" w:rsidP="00471A2E">
      <w:pPr>
        <w:spacing w:after="0"/>
        <w:rPr>
          <w:rFonts w:ascii="Arial" w:eastAsia="Times New Roman" w:hAnsi="Arial" w:cs="Arial"/>
          <w:sz w:val="20"/>
          <w:szCs w:val="20"/>
          <w:lang w:eastAsia="nl-NL"/>
        </w:rPr>
      </w:pPr>
      <w:r w:rsidRPr="00471A2E">
        <w:rPr>
          <w:rFonts w:ascii="Arial" w:eastAsia="Times New Roman" w:hAnsi="Arial" w:cs="Arial"/>
          <w:sz w:val="20"/>
          <w:szCs w:val="20"/>
          <w:lang w:eastAsia="nl-NL"/>
        </w:rPr>
        <w:t> </w:t>
      </w:r>
      <w:proofErr w:type="gramStart"/>
      <w:r w:rsidRPr="00471A2E">
        <w:rPr>
          <w:rFonts w:ascii="Arial" w:eastAsia="Times New Roman" w:hAnsi="Arial" w:cs="Arial"/>
          <w:sz w:val="20"/>
          <w:szCs w:val="20"/>
          <w:lang w:eastAsia="nl-NL"/>
        </w:rPr>
        <w:t>27-Jan-2016 at 11:59:59 PM (Eastern Time – Washington D.C.)</w:t>
      </w:r>
      <w:proofErr w:type="gramEnd"/>
    </w:p>
    <w:p w:rsidR="00471A2E" w:rsidRPr="00471A2E" w:rsidRDefault="00471A2E" w:rsidP="00471A2E">
      <w:pPr>
        <w:spacing w:after="0"/>
        <w:rPr>
          <w:rFonts w:ascii="Arial" w:eastAsia="Times New Roman" w:hAnsi="Arial" w:cs="Arial"/>
          <w:sz w:val="20"/>
          <w:szCs w:val="20"/>
          <w:lang w:val="nl-NL" w:eastAsia="nl-NL"/>
        </w:rPr>
      </w:pPr>
    </w:p>
    <w:p w:rsidR="00471A2E" w:rsidRPr="00471A2E" w:rsidRDefault="00471A2E" w:rsidP="00471A2E">
      <w:pPr>
        <w:spacing w:after="0"/>
        <w:rPr>
          <w:rFonts w:ascii="Arial" w:eastAsia="Times New Roman" w:hAnsi="Arial" w:cs="Arial"/>
          <w:b/>
          <w:sz w:val="20"/>
          <w:szCs w:val="20"/>
          <w:lang w:val="nl-NL" w:eastAsia="nl-NL"/>
        </w:rPr>
      </w:pPr>
      <w:proofErr w:type="spellStart"/>
      <w:r w:rsidRPr="00471A2E">
        <w:rPr>
          <w:rFonts w:ascii="Arial" w:eastAsia="Times New Roman" w:hAnsi="Arial" w:cs="Arial"/>
          <w:b/>
          <w:sz w:val="20"/>
          <w:szCs w:val="20"/>
          <w:lang w:val="nl-NL" w:eastAsia="nl-NL"/>
        </w:rPr>
        <w:t>Assignment</w:t>
      </w:r>
      <w:proofErr w:type="spellEnd"/>
      <w:r w:rsidRPr="00471A2E">
        <w:rPr>
          <w:rFonts w:ascii="Arial" w:eastAsia="Times New Roman" w:hAnsi="Arial" w:cs="Arial"/>
          <w:b/>
          <w:sz w:val="20"/>
          <w:szCs w:val="20"/>
          <w:lang w:val="nl-NL" w:eastAsia="nl-NL"/>
        </w:rPr>
        <w:t xml:space="preserve"> Country</w:t>
      </w:r>
    </w:p>
    <w:p w:rsidR="00471A2E" w:rsidRPr="00471A2E" w:rsidRDefault="00471A2E" w:rsidP="00471A2E">
      <w:pPr>
        <w:numPr>
          <w:ilvl w:val="0"/>
          <w:numId w:val="1"/>
        </w:numPr>
        <w:spacing w:before="100" w:beforeAutospacing="1" w:after="100" w:afterAutospacing="1"/>
        <w:rPr>
          <w:rFonts w:ascii="Arial" w:eastAsia="Times New Roman" w:hAnsi="Arial" w:cs="Arial"/>
          <w:sz w:val="20"/>
          <w:szCs w:val="20"/>
          <w:lang w:val="nl-NL" w:eastAsia="nl-NL"/>
        </w:rPr>
      </w:pPr>
      <w:r w:rsidRPr="00471A2E">
        <w:rPr>
          <w:rFonts w:ascii="Arial" w:eastAsia="Times New Roman" w:hAnsi="Arial" w:cs="Arial"/>
          <w:sz w:val="20"/>
          <w:szCs w:val="20"/>
          <w:lang w:val="nl-NL" w:eastAsia="nl-NL"/>
        </w:rPr>
        <w:t xml:space="preserve">No </w:t>
      </w:r>
      <w:proofErr w:type="spellStart"/>
      <w:r w:rsidRPr="00471A2E">
        <w:rPr>
          <w:rFonts w:ascii="Arial" w:eastAsia="Times New Roman" w:hAnsi="Arial" w:cs="Arial"/>
          <w:sz w:val="20"/>
          <w:szCs w:val="20"/>
          <w:lang w:val="nl-NL" w:eastAsia="nl-NL"/>
        </w:rPr>
        <w:t>Countries</w:t>
      </w:r>
      <w:proofErr w:type="spellEnd"/>
      <w:r w:rsidRPr="00471A2E">
        <w:rPr>
          <w:rFonts w:ascii="Arial" w:eastAsia="Times New Roman" w:hAnsi="Arial" w:cs="Arial"/>
          <w:sz w:val="20"/>
          <w:szCs w:val="20"/>
          <w:lang w:val="nl-NL" w:eastAsia="nl-NL"/>
        </w:rPr>
        <w:t xml:space="preserve"> </w:t>
      </w:r>
      <w:proofErr w:type="spellStart"/>
      <w:r w:rsidRPr="00471A2E">
        <w:rPr>
          <w:rFonts w:ascii="Arial" w:eastAsia="Times New Roman" w:hAnsi="Arial" w:cs="Arial"/>
          <w:sz w:val="20"/>
          <w:szCs w:val="20"/>
          <w:lang w:val="nl-NL" w:eastAsia="nl-NL"/>
        </w:rPr>
        <w:t>Assigned</w:t>
      </w:r>
      <w:proofErr w:type="spellEnd"/>
    </w:p>
    <w:p w:rsidR="00471A2E" w:rsidRPr="00471A2E" w:rsidRDefault="00471A2E" w:rsidP="00471A2E">
      <w:pPr>
        <w:spacing w:after="0"/>
        <w:rPr>
          <w:rFonts w:ascii="Arial" w:eastAsia="Times New Roman" w:hAnsi="Arial" w:cs="Arial"/>
          <w:b/>
          <w:sz w:val="20"/>
          <w:szCs w:val="20"/>
          <w:lang w:val="nl-NL" w:eastAsia="nl-NL"/>
        </w:rPr>
      </w:pPr>
      <w:proofErr w:type="spellStart"/>
      <w:r w:rsidRPr="00471A2E">
        <w:rPr>
          <w:rFonts w:ascii="Arial" w:eastAsia="Times New Roman" w:hAnsi="Arial" w:cs="Arial"/>
          <w:b/>
          <w:sz w:val="20"/>
          <w:szCs w:val="20"/>
          <w:lang w:val="nl-NL" w:eastAsia="nl-NL"/>
        </w:rPr>
        <w:t>Funding</w:t>
      </w:r>
      <w:proofErr w:type="spellEnd"/>
      <w:r w:rsidRPr="00471A2E">
        <w:rPr>
          <w:rFonts w:ascii="Arial" w:eastAsia="Times New Roman" w:hAnsi="Arial" w:cs="Arial"/>
          <w:b/>
          <w:sz w:val="20"/>
          <w:szCs w:val="20"/>
          <w:lang w:val="nl-NL" w:eastAsia="nl-NL"/>
        </w:rPr>
        <w:t xml:space="preserve"> Sources</w:t>
      </w:r>
    </w:p>
    <w:p w:rsidR="00471A2E" w:rsidRPr="00471A2E" w:rsidRDefault="00471A2E" w:rsidP="00471A2E">
      <w:pPr>
        <w:spacing w:after="0"/>
        <w:rPr>
          <w:rFonts w:ascii="Arial" w:eastAsia="Times New Roman" w:hAnsi="Arial" w:cs="Arial"/>
          <w:sz w:val="20"/>
          <w:szCs w:val="20"/>
          <w:lang w:eastAsia="nl-NL"/>
        </w:rPr>
      </w:pPr>
      <w:r w:rsidRPr="00471A2E">
        <w:rPr>
          <w:rFonts w:ascii="Arial" w:eastAsia="Times New Roman" w:hAnsi="Arial" w:cs="Arial"/>
          <w:sz w:val="20"/>
          <w:szCs w:val="20"/>
          <w:lang w:eastAsia="nl-NL"/>
        </w:rPr>
        <w:t xml:space="preserve">The World Bank Group intends to finance the assignment/services under: </w:t>
      </w:r>
    </w:p>
    <w:p w:rsidR="00471A2E" w:rsidRPr="00471A2E" w:rsidRDefault="00471A2E" w:rsidP="00471A2E">
      <w:pPr>
        <w:numPr>
          <w:ilvl w:val="0"/>
          <w:numId w:val="2"/>
        </w:numPr>
        <w:spacing w:before="100" w:beforeAutospacing="1" w:after="100" w:afterAutospacing="1"/>
        <w:rPr>
          <w:rFonts w:ascii="Arial" w:eastAsia="Times New Roman" w:hAnsi="Arial" w:cs="Arial"/>
          <w:sz w:val="20"/>
          <w:szCs w:val="20"/>
          <w:lang w:val="nl-NL" w:eastAsia="nl-NL"/>
        </w:rPr>
      </w:pPr>
      <w:r w:rsidRPr="00471A2E">
        <w:rPr>
          <w:rFonts w:ascii="Arial" w:eastAsia="Times New Roman" w:hAnsi="Arial" w:cs="Arial"/>
          <w:sz w:val="20"/>
          <w:szCs w:val="20"/>
          <w:lang w:val="nl-NL" w:eastAsia="nl-NL"/>
        </w:rPr>
        <w:t>BB - BANK BUDGET</w:t>
      </w:r>
    </w:p>
    <w:p w:rsidR="00471A2E" w:rsidRPr="00471A2E" w:rsidRDefault="00471A2E" w:rsidP="00471A2E">
      <w:pPr>
        <w:spacing w:after="0"/>
        <w:rPr>
          <w:rFonts w:ascii="Arial" w:eastAsia="Times New Roman" w:hAnsi="Arial" w:cs="Arial"/>
          <w:b/>
          <w:sz w:val="20"/>
          <w:szCs w:val="20"/>
          <w:lang w:val="nl-NL" w:eastAsia="nl-NL"/>
        </w:rPr>
      </w:pPr>
      <w:proofErr w:type="spellStart"/>
      <w:r w:rsidRPr="00471A2E">
        <w:rPr>
          <w:rFonts w:ascii="Arial" w:eastAsia="Times New Roman" w:hAnsi="Arial" w:cs="Arial"/>
          <w:b/>
          <w:sz w:val="20"/>
          <w:szCs w:val="20"/>
          <w:lang w:val="nl-NL" w:eastAsia="nl-NL"/>
        </w:rPr>
        <w:t>Individual</w:t>
      </w:r>
      <w:proofErr w:type="spellEnd"/>
      <w:r w:rsidRPr="00471A2E">
        <w:rPr>
          <w:rFonts w:ascii="Arial" w:eastAsia="Times New Roman" w:hAnsi="Arial" w:cs="Arial"/>
          <w:b/>
          <w:sz w:val="20"/>
          <w:szCs w:val="20"/>
          <w:lang w:val="nl-NL" w:eastAsia="nl-NL"/>
        </w:rPr>
        <w:t>/</w:t>
      </w:r>
      <w:proofErr w:type="spellStart"/>
      <w:r w:rsidRPr="00471A2E">
        <w:rPr>
          <w:rFonts w:ascii="Arial" w:eastAsia="Times New Roman" w:hAnsi="Arial" w:cs="Arial"/>
          <w:b/>
          <w:sz w:val="20"/>
          <w:szCs w:val="20"/>
          <w:lang w:val="nl-NL" w:eastAsia="nl-NL"/>
        </w:rPr>
        <w:t>Firm</w:t>
      </w:r>
      <w:proofErr w:type="spellEnd"/>
    </w:p>
    <w:p w:rsidR="00471A2E" w:rsidRPr="00471A2E" w:rsidRDefault="00471A2E" w:rsidP="00471A2E">
      <w:pPr>
        <w:spacing w:after="0"/>
        <w:rPr>
          <w:rFonts w:ascii="Arial" w:eastAsia="Times New Roman" w:hAnsi="Arial" w:cs="Arial"/>
          <w:sz w:val="20"/>
          <w:szCs w:val="20"/>
          <w:lang w:eastAsia="nl-NL"/>
        </w:rPr>
      </w:pPr>
      <w:r w:rsidRPr="00471A2E">
        <w:rPr>
          <w:rFonts w:ascii="Arial" w:eastAsia="Times New Roman" w:hAnsi="Arial" w:cs="Arial"/>
          <w:sz w:val="20"/>
          <w:szCs w:val="20"/>
          <w:lang w:eastAsia="nl-NL"/>
        </w:rPr>
        <w:t xml:space="preserve">The consultant will be a firm. </w:t>
      </w:r>
    </w:p>
    <w:p w:rsidR="00471A2E" w:rsidRPr="00471A2E" w:rsidRDefault="00471A2E" w:rsidP="00471A2E">
      <w:pPr>
        <w:spacing w:after="0"/>
        <w:rPr>
          <w:rFonts w:ascii="Arial" w:eastAsia="Times New Roman" w:hAnsi="Arial" w:cs="Arial"/>
          <w:sz w:val="20"/>
          <w:szCs w:val="20"/>
          <w:lang w:val="nl-NL" w:eastAsia="nl-NL"/>
        </w:rPr>
      </w:pPr>
    </w:p>
    <w:p w:rsidR="00471A2E" w:rsidRPr="00471A2E" w:rsidRDefault="00471A2E" w:rsidP="00471A2E">
      <w:pPr>
        <w:spacing w:after="0"/>
        <w:rPr>
          <w:rFonts w:ascii="Arial" w:eastAsia="Times New Roman" w:hAnsi="Arial" w:cs="Arial"/>
          <w:sz w:val="20"/>
          <w:szCs w:val="20"/>
          <w:lang w:eastAsia="nl-NL"/>
        </w:rPr>
      </w:pPr>
      <w:r w:rsidRPr="00471A2E">
        <w:rPr>
          <w:rFonts w:ascii="Arial" w:eastAsia="Times New Roman" w:hAnsi="Arial" w:cs="Arial"/>
          <w:b/>
          <w:sz w:val="20"/>
          <w:szCs w:val="20"/>
          <w:lang w:eastAsia="nl-NL"/>
        </w:rPr>
        <w:t>Electronic Submissions</w:t>
      </w:r>
      <w:r w:rsidRPr="00471A2E">
        <w:rPr>
          <w:rFonts w:ascii="Arial" w:eastAsia="Times New Roman" w:hAnsi="Arial" w:cs="Arial"/>
          <w:sz w:val="20"/>
          <w:szCs w:val="20"/>
          <w:lang w:eastAsia="nl-NL"/>
        </w:rPr>
        <w:t xml:space="preserve"> through World Bank Group eConsultant2</w:t>
      </w:r>
      <w:r>
        <w:rPr>
          <w:rFonts w:ascii="Arial" w:eastAsia="Times New Roman" w:hAnsi="Arial" w:cs="Arial"/>
          <w:sz w:val="20"/>
          <w:szCs w:val="20"/>
          <w:lang w:eastAsia="nl-NL"/>
        </w:rPr>
        <w:t xml:space="preserve"> </w:t>
      </w:r>
      <w:hyperlink r:id="rId6" w:history="1">
        <w:r w:rsidRPr="003164B8">
          <w:rPr>
            <w:rStyle w:val="Hyperlink"/>
            <w:rFonts w:ascii="Arial" w:eastAsia="Times New Roman" w:hAnsi="Arial" w:cs="Arial"/>
            <w:sz w:val="20"/>
            <w:szCs w:val="20"/>
            <w:lang w:eastAsia="nl-NL"/>
          </w:rPr>
          <w:t>https://wbgeconsult2.worldbank.org/wbgec/index.html</w:t>
        </w:r>
      </w:hyperlink>
      <w:r>
        <w:rPr>
          <w:rFonts w:ascii="Arial" w:eastAsia="Times New Roman" w:hAnsi="Arial" w:cs="Arial"/>
          <w:sz w:val="20"/>
          <w:szCs w:val="20"/>
          <w:lang w:eastAsia="nl-NL"/>
        </w:rPr>
        <w:t xml:space="preserve"> </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r>
      <w:r w:rsidRPr="00471A2E">
        <w:rPr>
          <w:rFonts w:ascii="Arial" w:eastAsia="Times New Roman" w:hAnsi="Arial" w:cs="Arial"/>
          <w:b/>
          <w:sz w:val="20"/>
          <w:szCs w:val="20"/>
          <w:lang w:eastAsia="nl-NL"/>
        </w:rPr>
        <w:t>ASSIGNMENT DESCRIPTION</w:t>
      </w:r>
      <w:r w:rsidRPr="00471A2E">
        <w:rPr>
          <w:rFonts w:ascii="Arial" w:eastAsia="Times New Roman" w:hAnsi="Arial" w:cs="Arial"/>
          <w:b/>
          <w:sz w:val="20"/>
          <w:szCs w:val="20"/>
          <w:lang w:eastAsia="nl-NL"/>
        </w:rPr>
        <w:br/>
      </w:r>
      <w:r w:rsidRPr="00471A2E">
        <w:rPr>
          <w:rFonts w:ascii="Arial" w:eastAsia="Times New Roman" w:hAnsi="Arial" w:cs="Arial"/>
          <w:sz w:val="20"/>
          <w:szCs w:val="20"/>
          <w:lang w:eastAsia="nl-NL"/>
        </w:rPr>
        <w:t xml:space="preserve">The complexity and sophistication of PPP transactions, and the fact that they are often heavily negotiated to reflect the characteristics of a given infrastructure project, frequently means that considerable time and expense is involved in preparing and finalizing PPP contracts. This has led many commentators to ask if it is possible to reduce costs, and shorten the time involved in such processes, by standardizing the provisions found in concession agreements or other PPP agreements between a government and a private company. </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t>In this context, and given (</w:t>
      </w:r>
      <w:proofErr w:type="spellStart"/>
      <w:r w:rsidRPr="00471A2E">
        <w:rPr>
          <w:rFonts w:ascii="Arial" w:eastAsia="Times New Roman" w:hAnsi="Arial" w:cs="Arial"/>
          <w:sz w:val="20"/>
          <w:szCs w:val="20"/>
          <w:lang w:eastAsia="nl-NL"/>
        </w:rPr>
        <w:t>i</w:t>
      </w:r>
      <w:proofErr w:type="spellEnd"/>
      <w:r w:rsidRPr="00471A2E">
        <w:rPr>
          <w:rFonts w:ascii="Arial" w:eastAsia="Times New Roman" w:hAnsi="Arial" w:cs="Arial"/>
          <w:sz w:val="20"/>
          <w:szCs w:val="20"/>
          <w:lang w:eastAsia="nl-NL"/>
        </w:rPr>
        <w:t xml:space="preserve">) the variety of PPP transactions carried out globally; (ii) the different legal systems existing in various countries; and (iii) the need to have tailor-made' provisions to deal with the individual characteristics of specific projects, the development of complete PPP agreements on an international basis is likely an unrealistic goal. At the same time, however, there may be merit in focusing on certain contractual provisions dealing with particular legal issues encountered in virtually every PPP agreement. </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t xml:space="preserve">Against this background, the World Bank Group developed the Report on Recommended PPP Contractual Provisions, 2015 Edition (2015 Report) which was published in August 2015 and presents the first attempt by any of the Multilateral Development Banks to prepare a compilation of recommended contractual language for PPP agreements. A copy of the 2015 Report is available at: </w:t>
      </w:r>
      <w:hyperlink r:id="rId7" w:history="1">
        <w:r w:rsidR="00611387" w:rsidRPr="003164B8">
          <w:rPr>
            <w:rStyle w:val="Hyperlink"/>
            <w:rFonts w:ascii="Arial" w:eastAsia="Times New Roman" w:hAnsi="Arial" w:cs="Arial"/>
            <w:sz w:val="20"/>
            <w:szCs w:val="20"/>
            <w:lang w:eastAsia="nl-NL"/>
          </w:rPr>
          <w:t>http://ppp.worldbank.org/public-private-partnership/library/wbg-report-recommended-ppp-contractual-provisions</w:t>
        </w:r>
      </w:hyperlink>
      <w:r w:rsidRPr="00471A2E">
        <w:rPr>
          <w:rFonts w:ascii="Arial" w:eastAsia="Times New Roman" w:hAnsi="Arial" w:cs="Arial"/>
          <w:sz w:val="20"/>
          <w:szCs w:val="20"/>
          <w:lang w:eastAsia="nl-NL"/>
        </w:rPr>
        <w:t xml:space="preserve">. </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t>In response to the industry feedback received on the contents of the 2015 Report during internal and external stakeholder consultations following its publication, it is now intend</w:t>
      </w:r>
      <w:bookmarkStart w:id="0" w:name="_GoBack"/>
      <w:bookmarkEnd w:id="0"/>
      <w:r w:rsidRPr="00471A2E">
        <w:rPr>
          <w:rFonts w:ascii="Arial" w:eastAsia="Times New Roman" w:hAnsi="Arial" w:cs="Arial"/>
          <w:sz w:val="20"/>
          <w:szCs w:val="20"/>
          <w:lang w:eastAsia="nl-NL"/>
        </w:rPr>
        <w:t>ed to continue this very successful initiative and to engage an international law firm to prepare a new version of this report, namely the Report on Recommended PPP Contractual Provisions, 2016 Edition (2016 Report). The latter would particularly present additional commentary/explanatory notes as well as alternative recommendations to recognize that different types of contractual provisions may be required in (</w:t>
      </w:r>
      <w:proofErr w:type="spellStart"/>
      <w:r w:rsidRPr="00471A2E">
        <w:rPr>
          <w:rFonts w:ascii="Arial" w:eastAsia="Times New Roman" w:hAnsi="Arial" w:cs="Arial"/>
          <w:sz w:val="20"/>
          <w:szCs w:val="20"/>
          <w:lang w:eastAsia="nl-NL"/>
        </w:rPr>
        <w:t>i</w:t>
      </w:r>
      <w:proofErr w:type="spellEnd"/>
      <w:r w:rsidRPr="00471A2E">
        <w:rPr>
          <w:rFonts w:ascii="Arial" w:eastAsia="Times New Roman" w:hAnsi="Arial" w:cs="Arial"/>
          <w:sz w:val="20"/>
          <w:szCs w:val="20"/>
          <w:lang w:eastAsia="nl-NL"/>
        </w:rPr>
        <w:t xml:space="preserve">) different types of legal systems (most importantly common law versus civil law systems) as well as (ii) </w:t>
      </w:r>
      <w:r w:rsidRPr="00471A2E">
        <w:rPr>
          <w:rFonts w:ascii="Arial" w:eastAsia="Times New Roman" w:hAnsi="Arial" w:cs="Arial"/>
          <w:sz w:val="20"/>
          <w:szCs w:val="20"/>
          <w:lang w:eastAsia="nl-NL"/>
        </w:rPr>
        <w:lastRenderedPageBreak/>
        <w:t xml:space="preserve">countries with different levels of PPP transactional experience. </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t xml:space="preserve">It should also be noted that the 2016 Report would be developed in conjunction with an associated initiative lead by the Global Infrastructure Hub (GIH) which is aimed at preparing the Report on Annotated PPP Risk Allocation Matrices, 2016 Edition (GIH Report) to assist countries with their understanding of typical PPP risk allocation arrangements. Given that the principles of risk allocation as between the public and private partners underpin the provisions in any PPP agreement, the GIH report and the 2016 Report will need to be closely linked to each other. </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r>
      <w:r w:rsidRPr="00471A2E">
        <w:rPr>
          <w:rFonts w:ascii="Arial" w:eastAsia="Times New Roman" w:hAnsi="Arial" w:cs="Arial"/>
          <w:b/>
          <w:sz w:val="20"/>
          <w:szCs w:val="20"/>
          <w:lang w:eastAsia="nl-NL"/>
        </w:rPr>
        <w:t>INDICATIVE TERM OF ASSIGNMENT</w:t>
      </w:r>
      <w:r w:rsidRPr="00471A2E">
        <w:rPr>
          <w:rFonts w:ascii="Arial" w:eastAsia="Times New Roman" w:hAnsi="Arial" w:cs="Arial"/>
          <w:b/>
          <w:sz w:val="20"/>
          <w:szCs w:val="20"/>
          <w:lang w:eastAsia="nl-NL"/>
        </w:rPr>
        <w:br/>
      </w:r>
      <w:r w:rsidRPr="00471A2E">
        <w:rPr>
          <w:rFonts w:ascii="Arial" w:eastAsia="Times New Roman" w:hAnsi="Arial" w:cs="Arial"/>
          <w:sz w:val="20"/>
          <w:szCs w:val="20"/>
          <w:lang w:eastAsia="nl-NL"/>
        </w:rPr>
        <w:t>The term of the consultancy shall commence on 21 March 2016 and end no later than 31 July 2016.</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r>
      <w:r w:rsidRPr="00471A2E">
        <w:rPr>
          <w:rFonts w:ascii="Arial" w:eastAsia="Times New Roman" w:hAnsi="Arial" w:cs="Arial"/>
          <w:b/>
          <w:sz w:val="20"/>
          <w:szCs w:val="20"/>
          <w:lang w:eastAsia="nl-NL"/>
        </w:rPr>
        <w:t>FUNDING ARRANGEMENTS</w:t>
      </w:r>
      <w:r w:rsidRPr="00471A2E">
        <w:rPr>
          <w:rFonts w:ascii="Arial" w:eastAsia="Times New Roman" w:hAnsi="Arial" w:cs="Arial"/>
          <w:b/>
          <w:sz w:val="20"/>
          <w:szCs w:val="20"/>
          <w:lang w:eastAsia="nl-NL"/>
        </w:rPr>
        <w:br/>
      </w:r>
      <w:proofErr w:type="gramStart"/>
      <w:r w:rsidRPr="00471A2E">
        <w:rPr>
          <w:rFonts w:ascii="Arial" w:eastAsia="Times New Roman" w:hAnsi="Arial" w:cs="Arial"/>
          <w:sz w:val="20"/>
          <w:szCs w:val="20"/>
          <w:lang w:eastAsia="nl-NL"/>
        </w:rPr>
        <w:t>The</w:t>
      </w:r>
      <w:proofErr w:type="gramEnd"/>
      <w:r w:rsidRPr="00471A2E">
        <w:rPr>
          <w:rFonts w:ascii="Arial" w:eastAsia="Times New Roman" w:hAnsi="Arial" w:cs="Arial"/>
          <w:sz w:val="20"/>
          <w:szCs w:val="20"/>
          <w:lang w:eastAsia="nl-NL"/>
        </w:rPr>
        <w:t xml:space="preserve"> lump sum payable for this assignment, inclusive of all disbursements and taxes (if applicable), all staff remuneration and all out of pocket expenses such as travel, accommodation or other miscellaneous expenses, is USD 90,000. </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r>
      <w:r w:rsidRPr="00471A2E">
        <w:rPr>
          <w:rFonts w:ascii="Arial" w:eastAsia="Times New Roman" w:hAnsi="Arial" w:cs="Arial"/>
          <w:b/>
          <w:sz w:val="20"/>
          <w:szCs w:val="20"/>
          <w:lang w:eastAsia="nl-NL"/>
        </w:rPr>
        <w:t>ELIGIBILITY</w:t>
      </w:r>
      <w:r w:rsidRPr="00471A2E">
        <w:rPr>
          <w:rFonts w:ascii="Arial" w:eastAsia="Times New Roman" w:hAnsi="Arial" w:cs="Arial"/>
          <w:sz w:val="20"/>
          <w:szCs w:val="20"/>
          <w:lang w:eastAsia="nl-NL"/>
        </w:rPr>
        <w:br/>
        <w:t>Eligibility restrictions apply</w:t>
      </w:r>
      <w:proofErr w:type="gramStart"/>
      <w:r w:rsidRPr="00471A2E">
        <w:rPr>
          <w:rFonts w:ascii="Arial" w:eastAsia="Times New Roman" w:hAnsi="Arial" w:cs="Arial"/>
          <w:sz w:val="20"/>
          <w:szCs w:val="20"/>
          <w:lang w:eastAsia="nl-NL"/>
        </w:rPr>
        <w:t>:</w:t>
      </w:r>
      <w:proofErr w:type="gramEnd"/>
      <w:r w:rsidRPr="00471A2E">
        <w:rPr>
          <w:rFonts w:ascii="Arial" w:eastAsia="Times New Roman" w:hAnsi="Arial" w:cs="Arial"/>
          <w:sz w:val="20"/>
          <w:szCs w:val="20"/>
          <w:lang w:eastAsia="nl-NL"/>
        </w:rPr>
        <w:br/>
        <w:t>Please restrict Expressions of Interest to maximum 20 pages (including Annexes).</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r>
      <w:r w:rsidRPr="00471A2E">
        <w:rPr>
          <w:rFonts w:ascii="Arial" w:eastAsia="Times New Roman" w:hAnsi="Arial" w:cs="Arial"/>
          <w:b/>
          <w:sz w:val="20"/>
          <w:szCs w:val="20"/>
          <w:lang w:eastAsia="nl-NL"/>
        </w:rPr>
        <w:t>SUBMISSION REQUIREMENTS</w:t>
      </w:r>
      <w:r w:rsidRPr="00471A2E">
        <w:rPr>
          <w:rFonts w:ascii="Arial" w:eastAsia="Times New Roman" w:hAnsi="Arial" w:cs="Arial"/>
          <w:b/>
          <w:sz w:val="20"/>
          <w:szCs w:val="20"/>
          <w:lang w:eastAsia="nl-NL"/>
        </w:rPr>
        <w:br/>
      </w:r>
      <w:r w:rsidRPr="00471A2E">
        <w:rPr>
          <w:rFonts w:ascii="Arial" w:eastAsia="Times New Roman" w:hAnsi="Arial" w:cs="Arial"/>
          <w:sz w:val="20"/>
          <w:szCs w:val="20"/>
          <w:lang w:eastAsia="nl-NL"/>
        </w:rPr>
        <w:t xml:space="preserve">The World Bank now invites eligible firms to submit Expressions of Interest in providing the services, i.e. preparing the Report on Recommended PPP Contractual Provisions, 2016 Edition. Interested firms must provide information indicating that they are qualified to </w:t>
      </w:r>
      <w:r w:rsidR="004F1828" w:rsidRPr="00471A2E">
        <w:rPr>
          <w:rFonts w:ascii="Arial" w:eastAsia="Times New Roman" w:hAnsi="Arial" w:cs="Arial"/>
          <w:sz w:val="20"/>
          <w:szCs w:val="20"/>
          <w:lang w:eastAsia="nl-NL"/>
        </w:rPr>
        <w:t>perform the</w:t>
      </w:r>
      <w:r w:rsidRPr="00471A2E">
        <w:rPr>
          <w:rFonts w:ascii="Arial" w:eastAsia="Times New Roman" w:hAnsi="Arial" w:cs="Arial"/>
          <w:sz w:val="20"/>
          <w:szCs w:val="20"/>
          <w:lang w:eastAsia="nl-NL"/>
        </w:rPr>
        <w:t xml:space="preserve"> services (description of similar assignments, experience in similar conditions, </w:t>
      </w:r>
      <w:proofErr w:type="gramStart"/>
      <w:r w:rsidRPr="00471A2E">
        <w:rPr>
          <w:rFonts w:ascii="Arial" w:eastAsia="Times New Roman" w:hAnsi="Arial" w:cs="Arial"/>
          <w:sz w:val="20"/>
          <w:szCs w:val="20"/>
          <w:lang w:eastAsia="nl-NL"/>
        </w:rPr>
        <w:t>availability</w:t>
      </w:r>
      <w:proofErr w:type="gramEnd"/>
      <w:r w:rsidRPr="00471A2E">
        <w:rPr>
          <w:rFonts w:ascii="Arial" w:eastAsia="Times New Roman" w:hAnsi="Arial" w:cs="Arial"/>
          <w:sz w:val="20"/>
          <w:szCs w:val="20"/>
          <w:lang w:eastAsia="nl-NL"/>
        </w:rPr>
        <w:t xml:space="preserve"> of appropriate skills among staff). Please note that the total size of all attachments should be less than 5MB.</w:t>
      </w:r>
      <w:r w:rsidRPr="00471A2E">
        <w:rPr>
          <w:rFonts w:ascii="Arial" w:eastAsia="Times New Roman" w:hAnsi="Arial" w:cs="Arial"/>
          <w:sz w:val="20"/>
          <w:szCs w:val="20"/>
          <w:lang w:eastAsia="nl-NL"/>
        </w:rPr>
        <w:br/>
      </w:r>
      <w:r w:rsidRPr="00471A2E">
        <w:rPr>
          <w:rFonts w:ascii="Arial" w:eastAsia="Times New Roman" w:hAnsi="Arial" w:cs="Arial"/>
          <w:sz w:val="20"/>
          <w:szCs w:val="20"/>
          <w:lang w:eastAsia="nl-NL"/>
        </w:rPr>
        <w:br/>
      </w:r>
      <w:r w:rsidRPr="00471A2E">
        <w:rPr>
          <w:rFonts w:ascii="Arial" w:eastAsia="Times New Roman" w:hAnsi="Arial" w:cs="Arial"/>
          <w:b/>
          <w:sz w:val="20"/>
          <w:szCs w:val="20"/>
          <w:lang w:eastAsia="nl-NL"/>
        </w:rPr>
        <w:t>NOTES</w:t>
      </w:r>
      <w:r w:rsidRPr="00471A2E">
        <w:rPr>
          <w:rFonts w:ascii="Arial" w:eastAsia="Times New Roman" w:hAnsi="Arial" w:cs="Arial"/>
          <w:b/>
          <w:sz w:val="20"/>
          <w:szCs w:val="20"/>
          <w:lang w:eastAsia="nl-NL"/>
        </w:rPr>
        <w:br/>
      </w:r>
      <w:proofErr w:type="gramStart"/>
      <w:r w:rsidRPr="00471A2E">
        <w:rPr>
          <w:rFonts w:ascii="Arial" w:eastAsia="Times New Roman" w:hAnsi="Arial" w:cs="Arial"/>
          <w:sz w:val="20"/>
          <w:szCs w:val="20"/>
          <w:lang w:eastAsia="nl-NL"/>
        </w:rPr>
        <w:t>Following</w:t>
      </w:r>
      <w:proofErr w:type="gramEnd"/>
      <w:r w:rsidRPr="00471A2E">
        <w:rPr>
          <w:rFonts w:ascii="Arial" w:eastAsia="Times New Roman" w:hAnsi="Arial" w:cs="Arial"/>
          <w:sz w:val="20"/>
          <w:szCs w:val="20"/>
          <w:lang w:eastAsia="nl-NL"/>
        </w:rPr>
        <w:t xml:space="preserve"> this invitation for Expression of Interest, a shortlist of qualified firms will be formally invited to submit proposals.</w:t>
      </w:r>
    </w:p>
    <w:p w:rsidR="00AD65A9" w:rsidRPr="00E27C87" w:rsidRDefault="00AD65A9" w:rsidP="00471A2E">
      <w:pPr>
        <w:spacing w:after="0"/>
        <w:rPr>
          <w:rFonts w:ascii="Arial" w:eastAsia="Times New Roman" w:hAnsi="Arial" w:cs="Arial"/>
          <w:sz w:val="20"/>
          <w:szCs w:val="20"/>
          <w:lang w:eastAsia="nl-NL"/>
        </w:rPr>
      </w:pPr>
    </w:p>
    <w:p w:rsidR="00471A2E" w:rsidRPr="00471A2E" w:rsidRDefault="00471A2E" w:rsidP="00471A2E">
      <w:pPr>
        <w:spacing w:after="0"/>
        <w:rPr>
          <w:rFonts w:ascii="Arial" w:eastAsia="Times New Roman" w:hAnsi="Arial" w:cs="Arial"/>
          <w:b/>
          <w:sz w:val="20"/>
          <w:szCs w:val="20"/>
          <w:lang w:val="nl-NL" w:eastAsia="nl-NL"/>
        </w:rPr>
      </w:pPr>
      <w:proofErr w:type="spellStart"/>
      <w:r w:rsidRPr="00471A2E">
        <w:rPr>
          <w:rFonts w:ascii="Arial" w:eastAsia="Times New Roman" w:hAnsi="Arial" w:cs="Arial"/>
          <w:b/>
          <w:sz w:val="20"/>
          <w:szCs w:val="20"/>
          <w:lang w:val="nl-NL" w:eastAsia="nl-NL"/>
        </w:rPr>
        <w:t>Qualification</w:t>
      </w:r>
      <w:proofErr w:type="spellEnd"/>
      <w:r w:rsidRPr="00471A2E">
        <w:rPr>
          <w:rFonts w:ascii="Arial" w:eastAsia="Times New Roman" w:hAnsi="Arial" w:cs="Arial"/>
          <w:b/>
          <w:sz w:val="20"/>
          <w:szCs w:val="20"/>
          <w:lang w:val="nl-NL" w:eastAsia="nl-NL"/>
        </w:rPr>
        <w:t xml:space="preserve"> Criteria </w:t>
      </w:r>
    </w:p>
    <w:p w:rsidR="00471A2E" w:rsidRPr="00471A2E" w:rsidRDefault="00471A2E" w:rsidP="00471A2E">
      <w:pPr>
        <w:numPr>
          <w:ilvl w:val="0"/>
          <w:numId w:val="3"/>
        </w:numPr>
        <w:spacing w:before="100" w:beforeAutospacing="1" w:after="100" w:afterAutospacing="1"/>
        <w:rPr>
          <w:rFonts w:ascii="Arial" w:eastAsia="Times New Roman" w:hAnsi="Arial" w:cs="Arial"/>
          <w:sz w:val="20"/>
          <w:szCs w:val="20"/>
          <w:lang w:eastAsia="nl-NL"/>
        </w:rPr>
      </w:pPr>
      <w:r w:rsidRPr="00471A2E">
        <w:rPr>
          <w:rFonts w:ascii="Arial" w:eastAsia="Times New Roman" w:hAnsi="Arial" w:cs="Arial"/>
          <w:b/>
          <w:bCs/>
          <w:sz w:val="20"/>
          <w:szCs w:val="20"/>
          <w:lang w:eastAsia="nl-NL"/>
        </w:rPr>
        <w:t>1.</w:t>
      </w:r>
      <w:r w:rsidRPr="00471A2E">
        <w:rPr>
          <w:rFonts w:ascii="Arial" w:eastAsia="Times New Roman" w:hAnsi="Arial" w:cs="Arial"/>
          <w:sz w:val="20"/>
          <w:szCs w:val="20"/>
          <w:lang w:eastAsia="nl-NL"/>
        </w:rPr>
        <w:t xml:space="preserve"> Provide information showing that they are qualified in the field of the assignment (particularly extensive experience in advising on the various contractual arrangements (I) typically used for PPP transactions and (ii)under both civil and common law) *</w:t>
      </w:r>
    </w:p>
    <w:p w:rsidR="00471A2E" w:rsidRPr="00471A2E" w:rsidRDefault="00471A2E" w:rsidP="00471A2E">
      <w:pPr>
        <w:numPr>
          <w:ilvl w:val="0"/>
          <w:numId w:val="3"/>
        </w:numPr>
        <w:spacing w:before="100" w:beforeAutospacing="1" w:after="100" w:afterAutospacing="1"/>
        <w:rPr>
          <w:rFonts w:ascii="Arial" w:eastAsia="Times New Roman" w:hAnsi="Arial" w:cs="Arial"/>
          <w:sz w:val="20"/>
          <w:szCs w:val="20"/>
          <w:lang w:val="nl-NL" w:eastAsia="nl-NL"/>
        </w:rPr>
      </w:pPr>
      <w:r w:rsidRPr="00471A2E">
        <w:rPr>
          <w:rFonts w:ascii="Arial" w:eastAsia="Times New Roman" w:hAnsi="Arial" w:cs="Arial"/>
          <w:b/>
          <w:bCs/>
          <w:sz w:val="20"/>
          <w:szCs w:val="20"/>
          <w:lang w:eastAsia="nl-NL"/>
        </w:rPr>
        <w:t>2.</w:t>
      </w:r>
      <w:r w:rsidRPr="00471A2E">
        <w:rPr>
          <w:rFonts w:ascii="Arial" w:eastAsia="Times New Roman" w:hAnsi="Arial" w:cs="Arial"/>
          <w:sz w:val="20"/>
          <w:szCs w:val="20"/>
          <w:lang w:eastAsia="nl-NL"/>
        </w:rPr>
        <w:t xml:space="preserve"> Provide information on the technical and managerial capabilities of the firm. </w:t>
      </w:r>
      <w:r w:rsidRPr="00471A2E">
        <w:rPr>
          <w:rFonts w:ascii="Arial" w:eastAsia="Times New Roman" w:hAnsi="Arial" w:cs="Arial"/>
          <w:sz w:val="20"/>
          <w:szCs w:val="20"/>
          <w:lang w:val="nl-NL" w:eastAsia="nl-NL"/>
        </w:rPr>
        <w:t>*</w:t>
      </w:r>
    </w:p>
    <w:p w:rsidR="00471A2E" w:rsidRPr="00471A2E" w:rsidRDefault="00471A2E" w:rsidP="00471A2E">
      <w:pPr>
        <w:numPr>
          <w:ilvl w:val="0"/>
          <w:numId w:val="3"/>
        </w:numPr>
        <w:spacing w:before="100" w:beforeAutospacing="1" w:after="100" w:afterAutospacing="1"/>
        <w:rPr>
          <w:rFonts w:ascii="Arial" w:eastAsia="Times New Roman" w:hAnsi="Arial" w:cs="Arial"/>
          <w:sz w:val="20"/>
          <w:szCs w:val="20"/>
          <w:lang w:val="nl-NL" w:eastAsia="nl-NL"/>
        </w:rPr>
      </w:pPr>
      <w:r w:rsidRPr="00471A2E">
        <w:rPr>
          <w:rFonts w:ascii="Arial" w:eastAsia="Times New Roman" w:hAnsi="Arial" w:cs="Arial"/>
          <w:b/>
          <w:bCs/>
          <w:sz w:val="20"/>
          <w:szCs w:val="20"/>
          <w:lang w:eastAsia="nl-NL"/>
        </w:rPr>
        <w:t>3.</w:t>
      </w:r>
      <w:r w:rsidRPr="00471A2E">
        <w:rPr>
          <w:rFonts w:ascii="Arial" w:eastAsia="Times New Roman" w:hAnsi="Arial" w:cs="Arial"/>
          <w:sz w:val="20"/>
          <w:szCs w:val="20"/>
          <w:lang w:eastAsia="nl-NL"/>
        </w:rPr>
        <w:t xml:space="preserve"> Provide information on the qualifications of key staff. </w:t>
      </w:r>
      <w:r w:rsidRPr="00471A2E">
        <w:rPr>
          <w:rFonts w:ascii="Arial" w:eastAsia="Times New Roman" w:hAnsi="Arial" w:cs="Arial"/>
          <w:sz w:val="20"/>
          <w:szCs w:val="20"/>
          <w:lang w:val="nl-NL" w:eastAsia="nl-NL"/>
        </w:rPr>
        <w:t>*</w:t>
      </w:r>
    </w:p>
    <w:p w:rsidR="00471A2E" w:rsidRPr="00471A2E" w:rsidRDefault="00471A2E" w:rsidP="00471A2E">
      <w:pPr>
        <w:spacing w:after="0"/>
        <w:rPr>
          <w:rFonts w:ascii="Arial" w:eastAsia="Times New Roman" w:hAnsi="Arial" w:cs="Arial"/>
          <w:sz w:val="20"/>
          <w:szCs w:val="20"/>
          <w:lang w:val="nl-NL" w:eastAsia="nl-NL"/>
        </w:rPr>
      </w:pPr>
      <w:r w:rsidRPr="00471A2E">
        <w:rPr>
          <w:rFonts w:ascii="Arial" w:eastAsia="Times New Roman" w:hAnsi="Arial" w:cs="Arial"/>
          <w:sz w:val="20"/>
          <w:szCs w:val="20"/>
          <w:lang w:val="nl-NL" w:eastAsia="nl-NL"/>
        </w:rPr>
        <w:t xml:space="preserve">* - </w:t>
      </w:r>
      <w:proofErr w:type="spellStart"/>
      <w:r w:rsidRPr="00471A2E">
        <w:rPr>
          <w:rFonts w:ascii="Arial" w:eastAsia="Times New Roman" w:hAnsi="Arial" w:cs="Arial"/>
          <w:sz w:val="20"/>
          <w:szCs w:val="20"/>
          <w:lang w:val="nl-NL" w:eastAsia="nl-NL"/>
        </w:rPr>
        <w:t>Mandatory</w:t>
      </w:r>
      <w:proofErr w:type="spellEnd"/>
    </w:p>
    <w:p w:rsidR="00D309B7" w:rsidRPr="00471A2E" w:rsidRDefault="00D309B7" w:rsidP="00471A2E">
      <w:pPr>
        <w:rPr>
          <w:rFonts w:ascii="Arial" w:hAnsi="Arial" w:cs="Arial"/>
          <w:sz w:val="20"/>
          <w:szCs w:val="20"/>
        </w:rPr>
      </w:pPr>
    </w:p>
    <w:sectPr w:rsidR="00D309B7" w:rsidRPr="00471A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7222B2"/>
    <w:multiLevelType w:val="multilevel"/>
    <w:tmpl w:val="8836E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4831CC"/>
    <w:multiLevelType w:val="multilevel"/>
    <w:tmpl w:val="26828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51A345A"/>
    <w:multiLevelType w:val="multilevel"/>
    <w:tmpl w:val="5EAC4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A2E"/>
    <w:rsid w:val="00471A2E"/>
    <w:rsid w:val="004F1828"/>
    <w:rsid w:val="00611387"/>
    <w:rsid w:val="007D3D93"/>
    <w:rsid w:val="00AD65A9"/>
    <w:rsid w:val="00D309B7"/>
    <w:rsid w:val="00D3379E"/>
    <w:rsid w:val="00E27C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71A2E"/>
  </w:style>
  <w:style w:type="character" w:styleId="Hyperlink">
    <w:name w:val="Hyperlink"/>
    <w:basedOn w:val="DefaultParagraphFont"/>
    <w:uiPriority w:val="99"/>
    <w:unhideWhenUsed/>
    <w:rsid w:val="00471A2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71A2E"/>
  </w:style>
  <w:style w:type="character" w:styleId="Hyperlink">
    <w:name w:val="Hyperlink"/>
    <w:basedOn w:val="DefaultParagraphFont"/>
    <w:uiPriority w:val="99"/>
    <w:unhideWhenUsed/>
    <w:rsid w:val="00471A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45334">
      <w:bodyDiv w:val="1"/>
      <w:marLeft w:val="0"/>
      <w:marRight w:val="0"/>
      <w:marTop w:val="0"/>
      <w:marBottom w:val="0"/>
      <w:divBdr>
        <w:top w:val="none" w:sz="0" w:space="0" w:color="auto"/>
        <w:left w:val="none" w:sz="0" w:space="0" w:color="auto"/>
        <w:bottom w:val="none" w:sz="0" w:space="0" w:color="auto"/>
        <w:right w:val="none" w:sz="0" w:space="0" w:color="auto"/>
      </w:divBdr>
      <w:divsChild>
        <w:div w:id="787434595">
          <w:marLeft w:val="0"/>
          <w:marRight w:val="0"/>
          <w:marTop w:val="0"/>
          <w:marBottom w:val="0"/>
          <w:divBdr>
            <w:top w:val="none" w:sz="0" w:space="0" w:color="auto"/>
            <w:left w:val="none" w:sz="0" w:space="0" w:color="auto"/>
            <w:bottom w:val="none" w:sz="0" w:space="0" w:color="auto"/>
            <w:right w:val="none" w:sz="0" w:space="0" w:color="auto"/>
          </w:divBdr>
          <w:divsChild>
            <w:div w:id="1754087311">
              <w:marLeft w:val="0"/>
              <w:marRight w:val="0"/>
              <w:marTop w:val="0"/>
              <w:marBottom w:val="0"/>
              <w:divBdr>
                <w:top w:val="none" w:sz="0" w:space="0" w:color="auto"/>
                <w:left w:val="none" w:sz="0" w:space="0" w:color="auto"/>
                <w:bottom w:val="none" w:sz="0" w:space="0" w:color="auto"/>
                <w:right w:val="none" w:sz="0" w:space="0" w:color="auto"/>
              </w:divBdr>
            </w:div>
            <w:div w:id="1657418463">
              <w:marLeft w:val="0"/>
              <w:marRight w:val="0"/>
              <w:marTop w:val="0"/>
              <w:marBottom w:val="0"/>
              <w:divBdr>
                <w:top w:val="none" w:sz="0" w:space="0" w:color="auto"/>
                <w:left w:val="none" w:sz="0" w:space="0" w:color="auto"/>
                <w:bottom w:val="none" w:sz="0" w:space="0" w:color="auto"/>
                <w:right w:val="none" w:sz="0" w:space="0" w:color="auto"/>
              </w:divBdr>
            </w:div>
          </w:divsChild>
        </w:div>
        <w:div w:id="767048274">
          <w:marLeft w:val="0"/>
          <w:marRight w:val="0"/>
          <w:marTop w:val="0"/>
          <w:marBottom w:val="0"/>
          <w:divBdr>
            <w:top w:val="none" w:sz="0" w:space="0" w:color="auto"/>
            <w:left w:val="none" w:sz="0" w:space="0" w:color="auto"/>
            <w:bottom w:val="none" w:sz="0" w:space="0" w:color="auto"/>
            <w:right w:val="none" w:sz="0" w:space="0" w:color="auto"/>
          </w:divBdr>
          <w:divsChild>
            <w:div w:id="387533147">
              <w:marLeft w:val="0"/>
              <w:marRight w:val="0"/>
              <w:marTop w:val="0"/>
              <w:marBottom w:val="0"/>
              <w:divBdr>
                <w:top w:val="none" w:sz="0" w:space="0" w:color="auto"/>
                <w:left w:val="none" w:sz="0" w:space="0" w:color="auto"/>
                <w:bottom w:val="none" w:sz="0" w:space="0" w:color="auto"/>
                <w:right w:val="none" w:sz="0" w:space="0" w:color="auto"/>
              </w:divBdr>
            </w:div>
            <w:div w:id="1389114056">
              <w:marLeft w:val="0"/>
              <w:marRight w:val="0"/>
              <w:marTop w:val="0"/>
              <w:marBottom w:val="0"/>
              <w:divBdr>
                <w:top w:val="none" w:sz="0" w:space="0" w:color="auto"/>
                <w:left w:val="none" w:sz="0" w:space="0" w:color="auto"/>
                <w:bottom w:val="none" w:sz="0" w:space="0" w:color="auto"/>
                <w:right w:val="none" w:sz="0" w:space="0" w:color="auto"/>
              </w:divBdr>
            </w:div>
          </w:divsChild>
        </w:div>
        <w:div w:id="1731617489">
          <w:marLeft w:val="0"/>
          <w:marRight w:val="0"/>
          <w:marTop w:val="0"/>
          <w:marBottom w:val="0"/>
          <w:divBdr>
            <w:top w:val="none" w:sz="0" w:space="0" w:color="auto"/>
            <w:left w:val="none" w:sz="0" w:space="0" w:color="auto"/>
            <w:bottom w:val="none" w:sz="0" w:space="0" w:color="auto"/>
            <w:right w:val="none" w:sz="0" w:space="0" w:color="auto"/>
          </w:divBdr>
          <w:divsChild>
            <w:div w:id="1863713108">
              <w:marLeft w:val="0"/>
              <w:marRight w:val="0"/>
              <w:marTop w:val="0"/>
              <w:marBottom w:val="0"/>
              <w:divBdr>
                <w:top w:val="none" w:sz="0" w:space="0" w:color="auto"/>
                <w:left w:val="none" w:sz="0" w:space="0" w:color="auto"/>
                <w:bottom w:val="none" w:sz="0" w:space="0" w:color="auto"/>
                <w:right w:val="none" w:sz="0" w:space="0" w:color="auto"/>
              </w:divBdr>
            </w:div>
            <w:div w:id="1913274725">
              <w:marLeft w:val="0"/>
              <w:marRight w:val="0"/>
              <w:marTop w:val="0"/>
              <w:marBottom w:val="0"/>
              <w:divBdr>
                <w:top w:val="none" w:sz="0" w:space="0" w:color="auto"/>
                <w:left w:val="none" w:sz="0" w:space="0" w:color="auto"/>
                <w:bottom w:val="none" w:sz="0" w:space="0" w:color="auto"/>
                <w:right w:val="none" w:sz="0" w:space="0" w:color="auto"/>
              </w:divBdr>
            </w:div>
          </w:divsChild>
        </w:div>
        <w:div w:id="360478599">
          <w:marLeft w:val="0"/>
          <w:marRight w:val="0"/>
          <w:marTop w:val="0"/>
          <w:marBottom w:val="0"/>
          <w:divBdr>
            <w:top w:val="none" w:sz="0" w:space="0" w:color="auto"/>
            <w:left w:val="none" w:sz="0" w:space="0" w:color="auto"/>
            <w:bottom w:val="none" w:sz="0" w:space="0" w:color="auto"/>
            <w:right w:val="none" w:sz="0" w:space="0" w:color="auto"/>
          </w:divBdr>
          <w:divsChild>
            <w:div w:id="197354569">
              <w:marLeft w:val="0"/>
              <w:marRight w:val="0"/>
              <w:marTop w:val="0"/>
              <w:marBottom w:val="0"/>
              <w:divBdr>
                <w:top w:val="none" w:sz="0" w:space="0" w:color="auto"/>
                <w:left w:val="none" w:sz="0" w:space="0" w:color="auto"/>
                <w:bottom w:val="none" w:sz="0" w:space="0" w:color="auto"/>
                <w:right w:val="none" w:sz="0" w:space="0" w:color="auto"/>
              </w:divBdr>
            </w:div>
            <w:div w:id="1755206289">
              <w:marLeft w:val="0"/>
              <w:marRight w:val="0"/>
              <w:marTop w:val="0"/>
              <w:marBottom w:val="0"/>
              <w:divBdr>
                <w:top w:val="none" w:sz="0" w:space="0" w:color="auto"/>
                <w:left w:val="none" w:sz="0" w:space="0" w:color="auto"/>
                <w:bottom w:val="none" w:sz="0" w:space="0" w:color="auto"/>
                <w:right w:val="none" w:sz="0" w:space="0" w:color="auto"/>
              </w:divBdr>
            </w:div>
          </w:divsChild>
        </w:div>
        <w:div w:id="1526408484">
          <w:marLeft w:val="0"/>
          <w:marRight w:val="0"/>
          <w:marTop w:val="0"/>
          <w:marBottom w:val="0"/>
          <w:divBdr>
            <w:top w:val="none" w:sz="0" w:space="0" w:color="auto"/>
            <w:left w:val="none" w:sz="0" w:space="0" w:color="auto"/>
            <w:bottom w:val="none" w:sz="0" w:space="0" w:color="auto"/>
            <w:right w:val="none" w:sz="0" w:space="0" w:color="auto"/>
          </w:divBdr>
          <w:divsChild>
            <w:div w:id="733088543">
              <w:marLeft w:val="0"/>
              <w:marRight w:val="0"/>
              <w:marTop w:val="0"/>
              <w:marBottom w:val="0"/>
              <w:divBdr>
                <w:top w:val="none" w:sz="0" w:space="0" w:color="auto"/>
                <w:left w:val="none" w:sz="0" w:space="0" w:color="auto"/>
                <w:bottom w:val="none" w:sz="0" w:space="0" w:color="auto"/>
                <w:right w:val="none" w:sz="0" w:space="0" w:color="auto"/>
              </w:divBdr>
            </w:div>
            <w:div w:id="1736589415">
              <w:marLeft w:val="0"/>
              <w:marRight w:val="0"/>
              <w:marTop w:val="0"/>
              <w:marBottom w:val="0"/>
              <w:divBdr>
                <w:top w:val="none" w:sz="0" w:space="0" w:color="auto"/>
                <w:left w:val="none" w:sz="0" w:space="0" w:color="auto"/>
                <w:bottom w:val="none" w:sz="0" w:space="0" w:color="auto"/>
                <w:right w:val="none" w:sz="0" w:space="0" w:color="auto"/>
              </w:divBdr>
            </w:div>
          </w:divsChild>
        </w:div>
        <w:div w:id="650452437">
          <w:marLeft w:val="0"/>
          <w:marRight w:val="0"/>
          <w:marTop w:val="0"/>
          <w:marBottom w:val="0"/>
          <w:divBdr>
            <w:top w:val="none" w:sz="0" w:space="0" w:color="auto"/>
            <w:left w:val="none" w:sz="0" w:space="0" w:color="auto"/>
            <w:bottom w:val="none" w:sz="0" w:space="0" w:color="auto"/>
            <w:right w:val="none" w:sz="0" w:space="0" w:color="auto"/>
          </w:divBdr>
          <w:divsChild>
            <w:div w:id="1611887963">
              <w:marLeft w:val="0"/>
              <w:marRight w:val="0"/>
              <w:marTop w:val="0"/>
              <w:marBottom w:val="0"/>
              <w:divBdr>
                <w:top w:val="none" w:sz="0" w:space="0" w:color="auto"/>
                <w:left w:val="none" w:sz="0" w:space="0" w:color="auto"/>
                <w:bottom w:val="none" w:sz="0" w:space="0" w:color="auto"/>
                <w:right w:val="none" w:sz="0" w:space="0" w:color="auto"/>
              </w:divBdr>
            </w:div>
            <w:div w:id="455829068">
              <w:marLeft w:val="0"/>
              <w:marRight w:val="0"/>
              <w:marTop w:val="0"/>
              <w:marBottom w:val="0"/>
              <w:divBdr>
                <w:top w:val="none" w:sz="0" w:space="0" w:color="auto"/>
                <w:left w:val="none" w:sz="0" w:space="0" w:color="auto"/>
                <w:bottom w:val="none" w:sz="0" w:space="0" w:color="auto"/>
                <w:right w:val="none" w:sz="0" w:space="0" w:color="auto"/>
              </w:divBdr>
            </w:div>
          </w:divsChild>
        </w:div>
        <w:div w:id="1022121766">
          <w:marLeft w:val="0"/>
          <w:marRight w:val="0"/>
          <w:marTop w:val="0"/>
          <w:marBottom w:val="0"/>
          <w:divBdr>
            <w:top w:val="none" w:sz="0" w:space="0" w:color="auto"/>
            <w:left w:val="none" w:sz="0" w:space="0" w:color="auto"/>
            <w:bottom w:val="none" w:sz="0" w:space="0" w:color="auto"/>
            <w:right w:val="none" w:sz="0" w:space="0" w:color="auto"/>
          </w:divBdr>
          <w:divsChild>
            <w:div w:id="298074183">
              <w:marLeft w:val="0"/>
              <w:marRight w:val="0"/>
              <w:marTop w:val="0"/>
              <w:marBottom w:val="0"/>
              <w:divBdr>
                <w:top w:val="none" w:sz="0" w:space="0" w:color="auto"/>
                <w:left w:val="none" w:sz="0" w:space="0" w:color="auto"/>
                <w:bottom w:val="none" w:sz="0" w:space="0" w:color="auto"/>
                <w:right w:val="none" w:sz="0" w:space="0" w:color="auto"/>
              </w:divBdr>
            </w:div>
            <w:div w:id="120151708">
              <w:marLeft w:val="0"/>
              <w:marRight w:val="0"/>
              <w:marTop w:val="0"/>
              <w:marBottom w:val="0"/>
              <w:divBdr>
                <w:top w:val="none" w:sz="0" w:space="0" w:color="auto"/>
                <w:left w:val="none" w:sz="0" w:space="0" w:color="auto"/>
                <w:bottom w:val="none" w:sz="0" w:space="0" w:color="auto"/>
                <w:right w:val="none" w:sz="0" w:space="0" w:color="auto"/>
              </w:divBdr>
            </w:div>
          </w:divsChild>
        </w:div>
        <w:div w:id="1778596554">
          <w:marLeft w:val="0"/>
          <w:marRight w:val="0"/>
          <w:marTop w:val="0"/>
          <w:marBottom w:val="0"/>
          <w:divBdr>
            <w:top w:val="none" w:sz="0" w:space="0" w:color="auto"/>
            <w:left w:val="none" w:sz="0" w:space="0" w:color="auto"/>
            <w:bottom w:val="none" w:sz="0" w:space="0" w:color="auto"/>
            <w:right w:val="none" w:sz="0" w:space="0" w:color="auto"/>
          </w:divBdr>
        </w:div>
        <w:div w:id="932208166">
          <w:marLeft w:val="0"/>
          <w:marRight w:val="0"/>
          <w:marTop w:val="0"/>
          <w:marBottom w:val="0"/>
          <w:divBdr>
            <w:top w:val="none" w:sz="0" w:space="0" w:color="auto"/>
            <w:left w:val="none" w:sz="0" w:space="0" w:color="auto"/>
            <w:bottom w:val="none" w:sz="0" w:space="0" w:color="auto"/>
            <w:right w:val="none" w:sz="0" w:space="0" w:color="auto"/>
          </w:divBdr>
          <w:divsChild>
            <w:div w:id="955333797">
              <w:marLeft w:val="0"/>
              <w:marRight w:val="0"/>
              <w:marTop w:val="0"/>
              <w:marBottom w:val="0"/>
              <w:divBdr>
                <w:top w:val="none" w:sz="0" w:space="0" w:color="auto"/>
                <w:left w:val="none" w:sz="0" w:space="0" w:color="auto"/>
                <w:bottom w:val="none" w:sz="0" w:space="0" w:color="auto"/>
                <w:right w:val="none" w:sz="0" w:space="0" w:color="auto"/>
              </w:divBdr>
            </w:div>
            <w:div w:id="30385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ppp.worldbank.org/public-private-partnership/library/wbg-report-recommended-ppp-contractual-provi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19C3D2D9</Template>
  <TotalTime>0</TotalTime>
  <Pages>2</Pages>
  <Words>810</Words>
  <Characters>4461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2016-01-20T18:21:00Z</dcterms:created>
  <dcterms:modified xsi:type="dcterms:W3CDTF">2016-01-20T18:21:00Z</dcterms:modified>
</cp:coreProperties>
</file>