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74B" w:rsidRDefault="00CD774B" w:rsidP="00CD774B">
      <w:pPr>
        <w:spacing w:after="0"/>
        <w:rPr>
          <w:rFonts w:ascii="Times New Roman" w:eastAsia="Times New Roman" w:hAnsi="Times New Roman" w:cs="Times New Roman"/>
          <w:b/>
          <w:sz w:val="24"/>
          <w:szCs w:val="24"/>
          <w:lang w:eastAsia="nl-NL"/>
        </w:rPr>
      </w:pPr>
      <w:r>
        <w:rPr>
          <w:rFonts w:ascii="Times New Roman" w:eastAsia="Times New Roman" w:hAnsi="Times New Roman" w:cs="Times New Roman"/>
          <w:b/>
          <w:sz w:val="24"/>
          <w:szCs w:val="24"/>
          <w:lang w:eastAsia="nl-NL"/>
        </w:rPr>
        <w:t>R</w:t>
      </w:r>
      <w:r w:rsidRPr="00CD774B">
        <w:rPr>
          <w:rFonts w:ascii="Times New Roman" w:eastAsia="Times New Roman" w:hAnsi="Times New Roman" w:cs="Times New Roman"/>
          <w:b/>
          <w:sz w:val="24"/>
          <w:szCs w:val="24"/>
          <w:lang w:eastAsia="nl-NL"/>
        </w:rPr>
        <w:t>equest for expression of interest for selection # 1201843</w:t>
      </w:r>
    </w:p>
    <w:p w:rsidR="00CD774B" w:rsidRPr="00CD774B" w:rsidRDefault="00CD774B" w:rsidP="00CD774B">
      <w:pPr>
        <w:spacing w:after="0"/>
        <w:rPr>
          <w:rFonts w:ascii="Times New Roman" w:eastAsia="Times New Roman" w:hAnsi="Times New Roman" w:cs="Times New Roman"/>
          <w:b/>
          <w:sz w:val="24"/>
          <w:szCs w:val="24"/>
          <w:lang w:eastAsia="nl-NL"/>
        </w:rPr>
      </w:pP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Assignment Title</w:t>
      </w:r>
    </w:p>
    <w:p w:rsidR="00CD774B" w:rsidRPr="00CD774B" w:rsidRDefault="00CD774B" w:rsidP="00CD774B">
      <w:pPr>
        <w:spacing w:after="0"/>
        <w:rPr>
          <w:rFonts w:ascii="Times New Roman" w:eastAsia="Times New Roman" w:hAnsi="Times New Roman" w:cs="Times New Roman"/>
          <w:i/>
          <w:sz w:val="24"/>
          <w:szCs w:val="24"/>
          <w:lang w:eastAsia="nl-NL"/>
        </w:rPr>
      </w:pPr>
      <w:r w:rsidRPr="00CD774B">
        <w:rPr>
          <w:rFonts w:ascii="Times New Roman" w:eastAsia="Times New Roman" w:hAnsi="Times New Roman" w:cs="Times New Roman"/>
          <w:i/>
          <w:sz w:val="24"/>
          <w:szCs w:val="24"/>
          <w:lang w:eastAsia="nl-NL"/>
        </w:rPr>
        <w:t>IFC Reach Survey streamlining</w:t>
      </w:r>
    </w:p>
    <w:p w:rsidR="00CD774B" w:rsidRDefault="00CD774B" w:rsidP="00CD774B">
      <w:pPr>
        <w:spacing w:after="0"/>
        <w:rPr>
          <w:rFonts w:ascii="Times New Roman" w:eastAsia="Times New Roman" w:hAnsi="Times New Roman" w:cs="Times New Roman"/>
          <w:sz w:val="24"/>
          <w:szCs w:val="24"/>
          <w:lang w:eastAsia="nl-NL"/>
        </w:rPr>
      </w:pPr>
      <w:bookmarkStart w:id="0" w:name="_GoBack"/>
      <w:bookmarkEnd w:id="0"/>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Publication Date</w:t>
      </w:r>
    </w:p>
    <w:p w:rsidR="00CD774B" w:rsidRPr="00CD774B" w:rsidRDefault="00CD774B" w:rsidP="00CD774B">
      <w:pPr>
        <w:spacing w:after="0"/>
        <w:rPr>
          <w:rFonts w:ascii="Times New Roman" w:eastAsia="Times New Roman" w:hAnsi="Times New Roman" w:cs="Times New Roman"/>
          <w:i/>
          <w:sz w:val="24"/>
          <w:szCs w:val="24"/>
          <w:lang w:eastAsia="nl-NL"/>
        </w:rPr>
      </w:pPr>
      <w:r w:rsidRPr="00CD774B">
        <w:rPr>
          <w:rFonts w:ascii="Times New Roman" w:eastAsia="Times New Roman" w:hAnsi="Times New Roman" w:cs="Times New Roman"/>
          <w:i/>
          <w:sz w:val="24"/>
          <w:szCs w:val="24"/>
          <w:lang w:eastAsia="nl-NL"/>
        </w:rPr>
        <w:t> 06-Oct-2015</w:t>
      </w:r>
    </w:p>
    <w:p w:rsidR="00CD774B" w:rsidRDefault="00CD774B" w:rsidP="00CD774B">
      <w:pPr>
        <w:spacing w:after="0"/>
        <w:rPr>
          <w:rFonts w:ascii="Times New Roman" w:eastAsia="Times New Roman" w:hAnsi="Times New Roman" w:cs="Times New Roman"/>
          <w:sz w:val="24"/>
          <w:szCs w:val="24"/>
          <w:lang w:eastAsia="nl-NL"/>
        </w:rPr>
      </w:pP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Expression of Interest Deadline</w:t>
      </w:r>
    </w:p>
    <w:p w:rsidR="00CD774B" w:rsidRPr="00CD774B" w:rsidRDefault="00CD774B" w:rsidP="00CD774B">
      <w:pPr>
        <w:spacing w:after="0"/>
        <w:rPr>
          <w:rFonts w:ascii="Times New Roman" w:eastAsia="Times New Roman" w:hAnsi="Times New Roman" w:cs="Times New Roman"/>
          <w:i/>
          <w:sz w:val="24"/>
          <w:szCs w:val="24"/>
          <w:lang w:eastAsia="nl-NL"/>
        </w:rPr>
      </w:pPr>
      <w:r w:rsidRPr="00CD774B">
        <w:rPr>
          <w:rFonts w:ascii="Times New Roman" w:eastAsia="Times New Roman" w:hAnsi="Times New Roman" w:cs="Times New Roman"/>
          <w:i/>
          <w:sz w:val="24"/>
          <w:szCs w:val="24"/>
          <w:lang w:eastAsia="nl-NL"/>
        </w:rPr>
        <w:t> </w:t>
      </w:r>
      <w:proofErr w:type="gramStart"/>
      <w:r w:rsidRPr="00CD774B">
        <w:rPr>
          <w:rFonts w:ascii="Times New Roman" w:eastAsia="Times New Roman" w:hAnsi="Times New Roman" w:cs="Times New Roman"/>
          <w:i/>
          <w:sz w:val="24"/>
          <w:szCs w:val="24"/>
          <w:lang w:eastAsia="nl-NL"/>
        </w:rPr>
        <w:t>20-Oct-2015 at 11:59:59 PM (Eastern Time – Washington D.C.)</w:t>
      </w:r>
      <w:proofErr w:type="gramEnd"/>
    </w:p>
    <w:p w:rsidR="00CD774B" w:rsidRDefault="00CD774B" w:rsidP="00CD774B">
      <w:pPr>
        <w:spacing w:after="0"/>
        <w:rPr>
          <w:rFonts w:ascii="Times New Roman" w:eastAsia="Times New Roman" w:hAnsi="Times New Roman" w:cs="Times New Roman"/>
          <w:sz w:val="24"/>
          <w:szCs w:val="24"/>
          <w:lang w:eastAsia="nl-NL"/>
        </w:rPr>
      </w:pP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Language of Notice</w:t>
      </w:r>
    </w:p>
    <w:p w:rsidR="00CD774B" w:rsidRPr="00CD774B" w:rsidRDefault="00CD774B" w:rsidP="00CD774B">
      <w:pPr>
        <w:spacing w:after="0"/>
        <w:rPr>
          <w:rFonts w:ascii="Times New Roman" w:eastAsia="Times New Roman" w:hAnsi="Times New Roman" w:cs="Times New Roman"/>
          <w:i/>
          <w:sz w:val="24"/>
          <w:szCs w:val="24"/>
          <w:lang w:eastAsia="nl-NL"/>
        </w:rPr>
      </w:pPr>
      <w:r w:rsidRPr="00CD774B">
        <w:rPr>
          <w:rFonts w:ascii="Times New Roman" w:eastAsia="Times New Roman" w:hAnsi="Times New Roman" w:cs="Times New Roman"/>
          <w:i/>
          <w:sz w:val="24"/>
          <w:szCs w:val="24"/>
          <w:lang w:eastAsia="nl-NL"/>
        </w:rPr>
        <w:t> English</w:t>
      </w:r>
    </w:p>
    <w:p w:rsidR="00CD774B" w:rsidRDefault="00CD774B" w:rsidP="00CD774B">
      <w:pPr>
        <w:spacing w:after="0"/>
        <w:rPr>
          <w:rFonts w:ascii="Times New Roman" w:eastAsia="Times New Roman" w:hAnsi="Times New Roman" w:cs="Times New Roman"/>
          <w:sz w:val="24"/>
          <w:szCs w:val="24"/>
          <w:lang w:eastAsia="nl-NL"/>
        </w:rPr>
      </w:pP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 xml:space="preserve">Selection Notice </w:t>
      </w:r>
    </w:p>
    <w:p w:rsidR="00CD774B" w:rsidRPr="00CD774B" w:rsidRDefault="00CD774B" w:rsidP="00CD774B">
      <w:pPr>
        <w:spacing w:after="0"/>
        <w:rPr>
          <w:rFonts w:ascii="Times New Roman" w:eastAsia="Times New Roman" w:hAnsi="Times New Roman" w:cs="Times New Roman"/>
          <w:sz w:val="24"/>
          <w:szCs w:val="24"/>
          <w:lang w:val="nl-NL" w:eastAsia="nl-NL"/>
        </w:rPr>
      </w:pPr>
      <w:proofErr w:type="spellStart"/>
      <w:r w:rsidRPr="00CD774B">
        <w:rPr>
          <w:rFonts w:ascii="Times New Roman" w:eastAsia="Times New Roman" w:hAnsi="Times New Roman" w:cs="Times New Roman"/>
          <w:sz w:val="24"/>
          <w:szCs w:val="24"/>
          <w:lang w:val="nl-NL" w:eastAsia="nl-NL"/>
        </w:rPr>
        <w:t>Assignment</w:t>
      </w:r>
      <w:proofErr w:type="spellEnd"/>
      <w:r w:rsidRPr="00CD774B">
        <w:rPr>
          <w:rFonts w:ascii="Times New Roman" w:eastAsia="Times New Roman" w:hAnsi="Times New Roman" w:cs="Times New Roman"/>
          <w:sz w:val="24"/>
          <w:szCs w:val="24"/>
          <w:lang w:val="nl-NL" w:eastAsia="nl-NL"/>
        </w:rPr>
        <w:t xml:space="preserve"> Country</w:t>
      </w:r>
    </w:p>
    <w:p w:rsidR="00CD774B" w:rsidRPr="00CD774B" w:rsidRDefault="00CD774B" w:rsidP="00CD774B">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CD774B">
        <w:rPr>
          <w:rFonts w:ascii="Times New Roman" w:eastAsia="Times New Roman" w:hAnsi="Times New Roman" w:cs="Times New Roman"/>
          <w:i/>
          <w:sz w:val="24"/>
          <w:szCs w:val="24"/>
          <w:lang w:val="nl-NL" w:eastAsia="nl-NL"/>
        </w:rPr>
        <w:t xml:space="preserve">No </w:t>
      </w:r>
      <w:proofErr w:type="spellStart"/>
      <w:r w:rsidRPr="00CD774B">
        <w:rPr>
          <w:rFonts w:ascii="Times New Roman" w:eastAsia="Times New Roman" w:hAnsi="Times New Roman" w:cs="Times New Roman"/>
          <w:i/>
          <w:sz w:val="24"/>
          <w:szCs w:val="24"/>
          <w:lang w:val="nl-NL" w:eastAsia="nl-NL"/>
        </w:rPr>
        <w:t>Countries</w:t>
      </w:r>
      <w:proofErr w:type="spellEnd"/>
      <w:r w:rsidRPr="00CD774B">
        <w:rPr>
          <w:rFonts w:ascii="Times New Roman" w:eastAsia="Times New Roman" w:hAnsi="Times New Roman" w:cs="Times New Roman"/>
          <w:i/>
          <w:sz w:val="24"/>
          <w:szCs w:val="24"/>
          <w:lang w:val="nl-NL" w:eastAsia="nl-NL"/>
        </w:rPr>
        <w:t xml:space="preserve"> </w:t>
      </w:r>
      <w:proofErr w:type="spellStart"/>
      <w:r w:rsidRPr="00CD774B">
        <w:rPr>
          <w:rFonts w:ascii="Times New Roman" w:eastAsia="Times New Roman" w:hAnsi="Times New Roman" w:cs="Times New Roman"/>
          <w:i/>
          <w:sz w:val="24"/>
          <w:szCs w:val="24"/>
          <w:lang w:val="nl-NL" w:eastAsia="nl-NL"/>
        </w:rPr>
        <w:t>Assigned</w:t>
      </w:r>
      <w:proofErr w:type="spellEnd"/>
    </w:p>
    <w:p w:rsidR="00CD774B" w:rsidRPr="00CD774B" w:rsidRDefault="00CD774B" w:rsidP="00CD774B">
      <w:pPr>
        <w:spacing w:after="0"/>
        <w:rPr>
          <w:rFonts w:ascii="Times New Roman" w:eastAsia="Times New Roman" w:hAnsi="Times New Roman" w:cs="Times New Roman"/>
          <w:sz w:val="24"/>
          <w:szCs w:val="24"/>
          <w:lang w:val="nl-NL" w:eastAsia="nl-NL"/>
        </w:rPr>
      </w:pPr>
      <w:proofErr w:type="spellStart"/>
      <w:r w:rsidRPr="00CD774B">
        <w:rPr>
          <w:rFonts w:ascii="Times New Roman" w:eastAsia="Times New Roman" w:hAnsi="Times New Roman" w:cs="Times New Roman"/>
          <w:sz w:val="24"/>
          <w:szCs w:val="24"/>
          <w:lang w:val="nl-NL" w:eastAsia="nl-NL"/>
        </w:rPr>
        <w:t>Funding</w:t>
      </w:r>
      <w:proofErr w:type="spellEnd"/>
      <w:r w:rsidRPr="00CD774B">
        <w:rPr>
          <w:rFonts w:ascii="Times New Roman" w:eastAsia="Times New Roman" w:hAnsi="Times New Roman" w:cs="Times New Roman"/>
          <w:sz w:val="24"/>
          <w:szCs w:val="24"/>
          <w:lang w:val="nl-NL" w:eastAsia="nl-NL"/>
        </w:rPr>
        <w:t xml:space="preserve"> Sources</w:t>
      </w: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 xml:space="preserve">The World Bank Group intends to finance the assignment/services under: </w:t>
      </w:r>
    </w:p>
    <w:p w:rsidR="00CD774B" w:rsidRPr="00CD774B" w:rsidRDefault="00CD774B" w:rsidP="00CD774B">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CD774B">
        <w:rPr>
          <w:rFonts w:ascii="Times New Roman" w:eastAsia="Times New Roman" w:hAnsi="Times New Roman" w:cs="Times New Roman"/>
          <w:i/>
          <w:sz w:val="24"/>
          <w:szCs w:val="24"/>
          <w:lang w:val="nl-NL" w:eastAsia="nl-NL"/>
        </w:rPr>
        <w:t>BB - BANK BUDGET</w:t>
      </w:r>
    </w:p>
    <w:p w:rsidR="00CD774B" w:rsidRPr="00CD774B" w:rsidRDefault="00CD774B" w:rsidP="00CD774B">
      <w:pPr>
        <w:numPr>
          <w:ilvl w:val="0"/>
          <w:numId w:val="2"/>
        </w:numPr>
        <w:spacing w:before="100" w:beforeAutospacing="1" w:after="100" w:afterAutospacing="1"/>
        <w:rPr>
          <w:rFonts w:ascii="Times New Roman" w:eastAsia="Times New Roman" w:hAnsi="Times New Roman" w:cs="Times New Roman"/>
          <w:i/>
          <w:sz w:val="24"/>
          <w:szCs w:val="24"/>
          <w:lang w:eastAsia="nl-NL"/>
        </w:rPr>
      </w:pPr>
      <w:r w:rsidRPr="00CD774B">
        <w:rPr>
          <w:rFonts w:ascii="Times New Roman" w:eastAsia="Times New Roman" w:hAnsi="Times New Roman" w:cs="Times New Roman"/>
          <w:i/>
          <w:sz w:val="24"/>
          <w:szCs w:val="24"/>
          <w:lang w:eastAsia="nl-NL"/>
        </w:rPr>
        <w:t>TF090836 - SME BANKING PROGRAM - STRENGTHENING INSTITUTIONS AND BEST PRACTICES</w:t>
      </w: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Individual/Firm</w:t>
      </w: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 xml:space="preserve">The consultant will be a firm. </w:t>
      </w:r>
    </w:p>
    <w:p w:rsidR="00CD774B" w:rsidRPr="00CD774B" w:rsidRDefault="00CD774B" w:rsidP="00CD774B">
      <w:pPr>
        <w:spacing w:after="0"/>
        <w:rPr>
          <w:rFonts w:ascii="Times New Roman" w:eastAsia="Times New Roman" w:hAnsi="Times New Roman" w:cs="Times New Roman"/>
          <w:sz w:val="24"/>
          <w:szCs w:val="24"/>
          <w:lang w:val="nl-NL" w:eastAsia="nl-NL"/>
        </w:rPr>
      </w:pPr>
      <w:proofErr w:type="spellStart"/>
      <w:r w:rsidRPr="00CD774B">
        <w:rPr>
          <w:rFonts w:ascii="Times New Roman" w:eastAsia="Times New Roman" w:hAnsi="Times New Roman" w:cs="Times New Roman"/>
          <w:sz w:val="24"/>
          <w:szCs w:val="24"/>
          <w:lang w:val="nl-NL" w:eastAsia="nl-NL"/>
        </w:rPr>
        <w:t>Assignment</w:t>
      </w:r>
      <w:proofErr w:type="spellEnd"/>
      <w:r w:rsidRPr="00CD774B">
        <w:rPr>
          <w:rFonts w:ascii="Times New Roman" w:eastAsia="Times New Roman" w:hAnsi="Times New Roman" w:cs="Times New Roman"/>
          <w:sz w:val="24"/>
          <w:szCs w:val="24"/>
          <w:lang w:val="nl-NL" w:eastAsia="nl-NL"/>
        </w:rPr>
        <w:t xml:space="preserve"> </w:t>
      </w:r>
      <w:proofErr w:type="spellStart"/>
      <w:r w:rsidRPr="00CD774B">
        <w:rPr>
          <w:rFonts w:ascii="Times New Roman" w:eastAsia="Times New Roman" w:hAnsi="Times New Roman" w:cs="Times New Roman"/>
          <w:sz w:val="24"/>
          <w:szCs w:val="24"/>
          <w:lang w:val="nl-NL" w:eastAsia="nl-NL"/>
        </w:rPr>
        <w:t>Description</w:t>
      </w:r>
      <w:proofErr w:type="spellEnd"/>
      <w:r w:rsidRPr="00CD774B">
        <w:rPr>
          <w:rFonts w:ascii="Times New Roman" w:eastAsia="Times New Roman" w:hAnsi="Times New Roman" w:cs="Times New Roman"/>
          <w:sz w:val="24"/>
          <w:szCs w:val="24"/>
          <w:lang w:val="nl-NL" w:eastAsia="nl-NL"/>
        </w:rPr>
        <w:t xml:space="preserve"> </w:t>
      </w:r>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SELECTION FOR CONSULTANTS BY THE WORLD BANK GROUP</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REQUEST FOR EXPRESSIONS OF INTEREST</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Electronic Submissions through World Bank Group eConsultant2</w:t>
      </w:r>
      <w:r w:rsidRPr="00CD774B">
        <w:rPr>
          <w:rFonts w:ascii="Times New Roman" w:eastAsia="Times New Roman" w:hAnsi="Times New Roman" w:cs="Times New Roman"/>
          <w:sz w:val="24"/>
          <w:szCs w:val="24"/>
          <w:lang w:eastAsia="nl-NL"/>
        </w:rPr>
        <w:br/>
        <w:t>https://wbgeconsult2.worldbank.org/wbgec/index.html</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ASSIGNMENT OVERVIEW</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Assignment Title: 1201843 - IFC Reach Survey streamlining</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Assignment Countries:</w:t>
      </w:r>
      <w:r w:rsidRPr="00CD774B">
        <w:rPr>
          <w:rFonts w:ascii="Times New Roman" w:eastAsia="Times New Roman" w:hAnsi="Times New Roman" w:cs="Times New Roman"/>
          <w:sz w:val="24"/>
          <w:szCs w:val="24"/>
          <w:lang w:eastAsia="nl-NL"/>
        </w:rPr>
        <w:br/>
        <w:t>- (countries have not yet been selected)</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ASSIGNMENT DESCRIPTION</w:t>
      </w:r>
      <w:r w:rsidRPr="00CD774B">
        <w:rPr>
          <w:rFonts w:ascii="Times New Roman" w:eastAsia="Times New Roman" w:hAnsi="Times New Roman" w:cs="Times New Roman"/>
          <w:sz w:val="24"/>
          <w:szCs w:val="24"/>
          <w:lang w:eastAsia="nl-NL"/>
        </w:rPr>
        <w:br/>
        <w:t>PROJECT BACKGROUND</w:t>
      </w:r>
      <w:r w:rsidRPr="00CD774B">
        <w:rPr>
          <w:rFonts w:ascii="Times New Roman" w:eastAsia="Times New Roman" w:hAnsi="Times New Roman" w:cs="Times New Roman"/>
          <w:sz w:val="24"/>
          <w:szCs w:val="24"/>
          <w:lang w:eastAsia="nl-NL"/>
        </w:rPr>
        <w:br/>
        <w:t xml:space="preserve">Lack of access to financial services is a key barrier to the growth of micro, small, and medium </w:t>
      </w:r>
      <w:r w:rsidRPr="00CD774B">
        <w:rPr>
          <w:rFonts w:ascii="Times New Roman" w:eastAsia="Times New Roman" w:hAnsi="Times New Roman" w:cs="Times New Roman"/>
          <w:sz w:val="24"/>
          <w:szCs w:val="24"/>
          <w:lang w:eastAsia="nl-NL"/>
        </w:rPr>
        <w:lastRenderedPageBreak/>
        <w:t xml:space="preserve">enterprises (MSMEs). IFC is working to close the MSME financing gap, by providing finance and advisory services to financial institutions (FIs) around the world. By partnering with various financial intermediaries, including microfinance institutions (MFIs), commercial banks and non-bank financial institutions, IFC reaches many more micro, small and medium enterprises (MSMEs) than it could directly. </w:t>
      </w:r>
      <w:r w:rsidRPr="00CD774B">
        <w:rPr>
          <w:rFonts w:ascii="Times New Roman" w:eastAsia="Times New Roman" w:hAnsi="Times New Roman" w:cs="Times New Roman"/>
          <w:sz w:val="24"/>
          <w:szCs w:val="24"/>
          <w:lang w:eastAsia="nl-NL"/>
        </w:rPr>
        <w:br/>
        <w:t xml:space="preserve">An annual Reach Survey of IFC </w:t>
      </w:r>
      <w:proofErr w:type="gramStart"/>
      <w:r w:rsidRPr="00CD774B">
        <w:rPr>
          <w:rFonts w:ascii="Times New Roman" w:eastAsia="Times New Roman" w:hAnsi="Times New Roman" w:cs="Times New Roman"/>
          <w:sz w:val="24"/>
          <w:szCs w:val="24"/>
          <w:lang w:eastAsia="nl-NL"/>
        </w:rPr>
        <w:t>clients</w:t>
      </w:r>
      <w:proofErr w:type="gramEnd"/>
      <w:r w:rsidRPr="00CD774B">
        <w:rPr>
          <w:rFonts w:ascii="Times New Roman" w:eastAsia="Times New Roman" w:hAnsi="Times New Roman" w:cs="Times New Roman"/>
          <w:sz w:val="24"/>
          <w:szCs w:val="24"/>
          <w:lang w:eastAsia="nl-NL"/>
        </w:rPr>
        <w:t xml:space="preserve"> which lend to micro, small, and medium enterprises allows us to track financial institutions financing activity, and the development impact that IFC achieves through its private investments and advisory services in the financial sector. </w:t>
      </w:r>
      <w:r w:rsidRPr="00CD774B">
        <w:rPr>
          <w:rFonts w:ascii="Times New Roman" w:eastAsia="Times New Roman" w:hAnsi="Times New Roman" w:cs="Times New Roman"/>
          <w:sz w:val="24"/>
          <w:szCs w:val="24"/>
          <w:lang w:eastAsia="nl-NL"/>
        </w:rPr>
        <w:br/>
        <w:t>PROJECT OBJECTIVES</w:t>
      </w:r>
      <w:r w:rsidRPr="00CD774B">
        <w:rPr>
          <w:rFonts w:ascii="Times New Roman" w:eastAsia="Times New Roman" w:hAnsi="Times New Roman" w:cs="Times New Roman"/>
          <w:sz w:val="24"/>
          <w:szCs w:val="24"/>
          <w:lang w:eastAsia="nl-NL"/>
        </w:rPr>
        <w:br/>
        <w:t>IFC is in search of a consulting and technology service provider (Consultant) that will help to improve the efficiency and quality of the IFC Reach Survey process. Through the IFC Reach Survey Streamlining project, IFC intends to:</w:t>
      </w:r>
      <w:r w:rsidRPr="00CD774B">
        <w:rPr>
          <w:rFonts w:ascii="Times New Roman" w:eastAsia="Times New Roman" w:hAnsi="Times New Roman" w:cs="Times New Roman"/>
          <w:sz w:val="24"/>
          <w:szCs w:val="24"/>
          <w:lang w:eastAsia="nl-NL"/>
        </w:rPr>
        <w:br/>
        <w:t>Outsource the Reach Survey data collection by either:</w:t>
      </w:r>
      <w:r w:rsidRPr="00CD774B">
        <w:rPr>
          <w:rFonts w:ascii="Times New Roman" w:eastAsia="Times New Roman" w:hAnsi="Times New Roman" w:cs="Times New Roman"/>
          <w:sz w:val="24"/>
          <w:szCs w:val="24"/>
          <w:lang w:eastAsia="nl-NL"/>
        </w:rPr>
        <w:br/>
        <w:t>Streamlining the data collection process through an online platform, which will allow IFCs client financial institutions to report directly to that platform and then review data quality and resolve data issues with clients directly. In this option, the Consultant should provide flexibility to report offline (through Excel template) for the clients with poor internet connection or unwilling to submit data online, or</w:t>
      </w:r>
      <w:r w:rsidRPr="00CD774B">
        <w:rPr>
          <w:rFonts w:ascii="Times New Roman" w:eastAsia="Times New Roman" w:hAnsi="Times New Roman" w:cs="Times New Roman"/>
          <w:sz w:val="24"/>
          <w:szCs w:val="24"/>
          <w:lang w:eastAsia="nl-NL"/>
        </w:rPr>
        <w:br/>
        <w:t>Collecting the data in excel format, aggregating the data from all clients, reviewing the data quality and resolving quality issues with clients directly</w:t>
      </w:r>
      <w:r w:rsidRPr="00CD774B">
        <w:rPr>
          <w:rFonts w:ascii="Times New Roman" w:eastAsia="Times New Roman" w:hAnsi="Times New Roman" w:cs="Times New Roman"/>
          <w:sz w:val="24"/>
          <w:szCs w:val="24"/>
          <w:lang w:eastAsia="nl-NL"/>
        </w:rPr>
        <w:br/>
        <w:t>Optimize the communication process with the reporting financial institutions during the Reach data collection and data quality review;</w:t>
      </w:r>
      <w:r w:rsidRPr="00CD774B">
        <w:rPr>
          <w:rFonts w:ascii="Times New Roman" w:eastAsia="Times New Roman" w:hAnsi="Times New Roman" w:cs="Times New Roman"/>
          <w:sz w:val="24"/>
          <w:szCs w:val="24"/>
          <w:lang w:eastAsia="nl-NL"/>
        </w:rPr>
        <w:br/>
        <w:t>Improve the quality of the data collected by outsourcing the data control function to the dedicated Consultant.</w:t>
      </w:r>
      <w:r w:rsidRPr="00CD774B">
        <w:rPr>
          <w:rFonts w:ascii="Times New Roman" w:eastAsia="Times New Roman" w:hAnsi="Times New Roman" w:cs="Times New Roman"/>
          <w:sz w:val="24"/>
          <w:szCs w:val="24"/>
          <w:lang w:eastAsia="nl-NL"/>
        </w:rPr>
        <w:br/>
        <w:t xml:space="preserve">SCOPE OF WORK </w:t>
      </w:r>
      <w:r w:rsidRPr="00CD774B">
        <w:rPr>
          <w:rFonts w:ascii="Times New Roman" w:eastAsia="Times New Roman" w:hAnsi="Times New Roman" w:cs="Times New Roman"/>
          <w:sz w:val="24"/>
          <w:szCs w:val="24"/>
          <w:lang w:eastAsia="nl-NL"/>
        </w:rPr>
        <w:br/>
        <w:t xml:space="preserve">IFC expects the Consultant to manage the Reach Survey data collection and data cleaning from approximately 100-150 client financial institutions (microfinance institutions, banks and non-bank financial institutions) during the period January June 2016 with a possibility of rolling out the scope onto all clients in all regions of IFC operations in the following years thereafter up to 2018. Upon the assessment of the CY2015 project results, IFC may decide to roll out the project on the larger scope, or terminate the contract, if the services are not deemed satisfactory IFC. The Reach Survey has approximately 150 indicators, covering loan and deposit portfolios split by specific categories, number of clients, delivery channels and other indicators. </w:t>
      </w:r>
      <w:r w:rsidRPr="00CD774B">
        <w:rPr>
          <w:rFonts w:ascii="Times New Roman" w:eastAsia="Times New Roman" w:hAnsi="Times New Roman" w:cs="Times New Roman"/>
          <w:sz w:val="24"/>
          <w:szCs w:val="24"/>
          <w:lang w:eastAsia="nl-NL"/>
        </w:rPr>
        <w:br/>
        <w:t>The scope of work is defined as, but not limited to, the following areas:</w:t>
      </w:r>
      <w:r w:rsidRPr="00CD774B">
        <w:rPr>
          <w:rFonts w:ascii="Times New Roman" w:eastAsia="Times New Roman" w:hAnsi="Times New Roman" w:cs="Times New Roman"/>
          <w:sz w:val="24"/>
          <w:szCs w:val="24"/>
          <w:lang w:eastAsia="nl-NL"/>
        </w:rPr>
        <w:br/>
        <w:t>PROJECT SET UP</w:t>
      </w:r>
      <w:r w:rsidRPr="00CD774B">
        <w:rPr>
          <w:rFonts w:ascii="Times New Roman" w:eastAsia="Times New Roman" w:hAnsi="Times New Roman" w:cs="Times New Roman"/>
          <w:sz w:val="24"/>
          <w:szCs w:val="24"/>
          <w:lang w:eastAsia="nl-NL"/>
        </w:rPr>
        <w:br/>
        <w:t>The Consultant should customize and provide flexibility in internal processes to accommodate Reach Survey requirements;</w:t>
      </w:r>
      <w:r w:rsidRPr="00CD774B">
        <w:rPr>
          <w:rFonts w:ascii="Times New Roman" w:eastAsia="Times New Roman" w:hAnsi="Times New Roman" w:cs="Times New Roman"/>
          <w:sz w:val="24"/>
          <w:szCs w:val="24"/>
          <w:lang w:eastAsia="nl-NL"/>
        </w:rPr>
        <w:br/>
        <w:t>The Consultant should ensure a proper staffing, enabling to survey number of clients eligible for Reach Survey in two regions in CY2015 cycle. Upon the successful completion and positive assessment of the CY2015 cycle, the vendor will need to ensure adequate staffing to cover all 6 regions of IFCs presence, which are Latin America and the Caribbean, Sub Saharan Africa, Middle East and North Africa, Eastern Europe and Central Asia, South Asia and East Asia. The following languages are crucial: English, Spanish, French, Russian;</w:t>
      </w:r>
      <w:r w:rsidRPr="00CD774B">
        <w:rPr>
          <w:rFonts w:ascii="Times New Roman" w:eastAsia="Times New Roman" w:hAnsi="Times New Roman" w:cs="Times New Roman"/>
          <w:sz w:val="24"/>
          <w:szCs w:val="24"/>
          <w:lang w:eastAsia="nl-NL"/>
        </w:rPr>
        <w:br/>
        <w:t>The Consultant in conjunction with IFC should train its staff to ensure the common understanding of the process, timeline and deliverables;</w:t>
      </w:r>
      <w:r w:rsidRPr="00CD774B">
        <w:rPr>
          <w:rFonts w:ascii="Times New Roman" w:eastAsia="Times New Roman" w:hAnsi="Times New Roman" w:cs="Times New Roman"/>
          <w:sz w:val="24"/>
          <w:szCs w:val="24"/>
          <w:lang w:eastAsia="nl-NL"/>
        </w:rPr>
        <w:br/>
        <w:t xml:space="preserve">Develop the customized portal, enabling IFC client financial institutions to report their outreach </w:t>
      </w:r>
      <w:r w:rsidRPr="00CD774B">
        <w:rPr>
          <w:rFonts w:ascii="Times New Roman" w:eastAsia="Times New Roman" w:hAnsi="Times New Roman" w:cs="Times New Roman"/>
          <w:sz w:val="24"/>
          <w:szCs w:val="24"/>
          <w:lang w:eastAsia="nl-NL"/>
        </w:rPr>
        <w:lastRenderedPageBreak/>
        <w:t>data through the online platform. The Consultant will work with IFC to identify the necessary fields to be included in the platform.</w:t>
      </w:r>
      <w:r w:rsidRPr="00CD774B">
        <w:rPr>
          <w:rFonts w:ascii="Times New Roman" w:eastAsia="Times New Roman" w:hAnsi="Times New Roman" w:cs="Times New Roman"/>
          <w:sz w:val="24"/>
          <w:szCs w:val="24"/>
          <w:lang w:eastAsia="nl-NL"/>
        </w:rPr>
        <w:br/>
        <w:t>The Consultants must ensure internet security and data confidentiality protection if data is collected either thought the online platform or through the excel / emails</w:t>
      </w:r>
      <w:r w:rsidRPr="00CD774B">
        <w:rPr>
          <w:rFonts w:ascii="Times New Roman" w:eastAsia="Times New Roman" w:hAnsi="Times New Roman" w:cs="Times New Roman"/>
          <w:sz w:val="24"/>
          <w:szCs w:val="24"/>
          <w:lang w:eastAsia="nl-NL"/>
        </w:rPr>
        <w:br/>
        <w:t>DATA COLLECTION</w:t>
      </w:r>
      <w:r w:rsidRPr="00CD774B">
        <w:rPr>
          <w:rFonts w:ascii="Times New Roman" w:eastAsia="Times New Roman" w:hAnsi="Times New Roman" w:cs="Times New Roman"/>
          <w:sz w:val="24"/>
          <w:szCs w:val="24"/>
          <w:lang w:eastAsia="nl-NL"/>
        </w:rPr>
        <w:br/>
        <w:t>The Consultant should coordinate the outreach to targeted IFC client financial institutions and manage subsequent communication throughout the IFC Reach Survey cycle regarding the data requests, reminders and follow-ups;</w:t>
      </w:r>
      <w:r w:rsidRPr="00CD774B">
        <w:rPr>
          <w:rFonts w:ascii="Times New Roman" w:eastAsia="Times New Roman" w:hAnsi="Times New Roman" w:cs="Times New Roman"/>
          <w:sz w:val="24"/>
          <w:szCs w:val="24"/>
          <w:lang w:eastAsia="nl-NL"/>
        </w:rPr>
        <w:br/>
        <w:t xml:space="preserve">The Consultant should provide the status reports to IFC on a weekly basis (or twice a week) with the actual data that has been collected by date; </w:t>
      </w:r>
      <w:r w:rsidRPr="00CD774B">
        <w:rPr>
          <w:rFonts w:ascii="Times New Roman" w:eastAsia="Times New Roman" w:hAnsi="Times New Roman" w:cs="Times New Roman"/>
          <w:sz w:val="24"/>
          <w:szCs w:val="24"/>
          <w:lang w:eastAsia="nl-NL"/>
        </w:rPr>
        <w:br/>
        <w:t xml:space="preserve">The detailed portfolio breakdown required by the Reach Survey is not explicitly observable in the financial statements or other traditional reporting formats of financial institutions, therefore the Consultant is expected to guide IFC clients on the correct data extraction and consolidation; </w:t>
      </w:r>
      <w:r w:rsidRPr="00CD774B">
        <w:rPr>
          <w:rFonts w:ascii="Times New Roman" w:eastAsia="Times New Roman" w:hAnsi="Times New Roman" w:cs="Times New Roman"/>
          <w:sz w:val="24"/>
          <w:szCs w:val="24"/>
          <w:lang w:eastAsia="nl-NL"/>
        </w:rPr>
        <w:br/>
        <w:t>Provide training to IFC client financial institutions on the Reach Survey process, required indicators and the use of the customized technological platform (if any);</w:t>
      </w:r>
      <w:r w:rsidRPr="00CD774B">
        <w:rPr>
          <w:rFonts w:ascii="Times New Roman" w:eastAsia="Times New Roman" w:hAnsi="Times New Roman" w:cs="Times New Roman"/>
          <w:sz w:val="24"/>
          <w:szCs w:val="24"/>
          <w:lang w:eastAsia="nl-NL"/>
        </w:rPr>
        <w:br/>
        <w:t xml:space="preserve">The Consultant should ensure an automated data quality checks at the data entry. </w:t>
      </w:r>
      <w:r w:rsidRPr="00CD774B">
        <w:rPr>
          <w:rFonts w:ascii="Times New Roman" w:eastAsia="Times New Roman" w:hAnsi="Times New Roman" w:cs="Times New Roman"/>
          <w:sz w:val="24"/>
          <w:szCs w:val="24"/>
          <w:lang w:eastAsia="nl-NL"/>
        </w:rPr>
        <w:br/>
        <w:t>DATA QUALITY CONTROL</w:t>
      </w:r>
      <w:r w:rsidRPr="00CD774B">
        <w:rPr>
          <w:rFonts w:ascii="Times New Roman" w:eastAsia="Times New Roman" w:hAnsi="Times New Roman" w:cs="Times New Roman"/>
          <w:sz w:val="24"/>
          <w:szCs w:val="24"/>
          <w:lang w:eastAsia="nl-NL"/>
        </w:rPr>
        <w:br/>
        <w:t>The Consultant should perform the detailed data quality review. The list of data quality rules will be agreed by IFC;</w:t>
      </w:r>
      <w:r w:rsidRPr="00CD774B">
        <w:rPr>
          <w:rFonts w:ascii="Times New Roman" w:eastAsia="Times New Roman" w:hAnsi="Times New Roman" w:cs="Times New Roman"/>
          <w:sz w:val="24"/>
          <w:szCs w:val="24"/>
          <w:lang w:eastAsia="nl-NL"/>
        </w:rPr>
        <w:br/>
        <w:t>The Consultant should be responsible for clarifying the data quality issues directly with IFC clients;</w:t>
      </w:r>
      <w:r w:rsidRPr="00CD774B">
        <w:rPr>
          <w:rFonts w:ascii="Times New Roman" w:eastAsia="Times New Roman" w:hAnsi="Times New Roman" w:cs="Times New Roman"/>
          <w:sz w:val="24"/>
          <w:szCs w:val="24"/>
          <w:lang w:eastAsia="nl-NL"/>
        </w:rPr>
        <w:br/>
        <w:t xml:space="preserve">The Consultant should validate the data provided through the IFC Reach Survey by comparing the data reported versus the information officially published in the annual reports, financial </w:t>
      </w:r>
      <w:proofErr w:type="gramStart"/>
      <w:r w:rsidRPr="00CD774B">
        <w:rPr>
          <w:rFonts w:ascii="Times New Roman" w:eastAsia="Times New Roman" w:hAnsi="Times New Roman" w:cs="Times New Roman"/>
          <w:sz w:val="24"/>
          <w:szCs w:val="24"/>
          <w:lang w:eastAsia="nl-NL"/>
        </w:rPr>
        <w:t>statements</w:t>
      </w:r>
      <w:proofErr w:type="gramEnd"/>
      <w:r w:rsidRPr="00CD774B">
        <w:rPr>
          <w:rFonts w:ascii="Times New Roman" w:eastAsia="Times New Roman" w:hAnsi="Times New Roman" w:cs="Times New Roman"/>
          <w:sz w:val="24"/>
          <w:szCs w:val="24"/>
          <w:lang w:eastAsia="nl-NL"/>
        </w:rPr>
        <w:t>, investor presentations, etc. This validation should be done at the completion of the data collection and cleaning cycle.</w:t>
      </w:r>
      <w:r w:rsidRPr="00CD774B">
        <w:rPr>
          <w:rFonts w:ascii="Times New Roman" w:eastAsia="Times New Roman" w:hAnsi="Times New Roman" w:cs="Times New Roman"/>
          <w:sz w:val="24"/>
          <w:szCs w:val="24"/>
          <w:lang w:eastAsia="nl-NL"/>
        </w:rPr>
        <w:br/>
        <w:t>FINAL DELIVERABLE</w:t>
      </w:r>
      <w:r w:rsidRPr="00CD774B">
        <w:rPr>
          <w:rFonts w:ascii="Times New Roman" w:eastAsia="Times New Roman" w:hAnsi="Times New Roman" w:cs="Times New Roman"/>
          <w:sz w:val="24"/>
          <w:szCs w:val="24"/>
          <w:lang w:eastAsia="nl-NL"/>
        </w:rPr>
        <w:br/>
        <w:t>The Consultant should deliver a final aggregated data set to IFC with identification of the completion status, data quality issues and explanations/justifications for the raised data flags, as well as for the cases that have not been resolved;</w:t>
      </w:r>
      <w:r w:rsidRPr="00CD774B">
        <w:rPr>
          <w:rFonts w:ascii="Times New Roman" w:eastAsia="Times New Roman" w:hAnsi="Times New Roman" w:cs="Times New Roman"/>
          <w:sz w:val="24"/>
          <w:szCs w:val="24"/>
          <w:lang w:eastAsia="nl-NL"/>
        </w:rPr>
        <w:br/>
        <w:t>The Consultant should support IFC during the process of the data upload and help with resolving the data problems;</w:t>
      </w:r>
      <w:r w:rsidRPr="00CD774B">
        <w:rPr>
          <w:rFonts w:ascii="Times New Roman" w:eastAsia="Times New Roman" w:hAnsi="Times New Roman" w:cs="Times New Roman"/>
          <w:sz w:val="24"/>
          <w:szCs w:val="24"/>
          <w:lang w:eastAsia="nl-NL"/>
        </w:rPr>
        <w:br/>
        <w:t>IFC would like the Consultant to potentially provide analytical services to our clients by producing visualization of the data collected and possibly benchmarking with their peers.</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ELIGIBILITY (Eligibility restrictions apply)</w:t>
      </w:r>
      <w:proofErr w:type="gramStart"/>
      <w:r w:rsidRPr="00CD774B">
        <w:rPr>
          <w:rFonts w:ascii="Times New Roman" w:eastAsia="Times New Roman" w:hAnsi="Times New Roman" w:cs="Times New Roman"/>
          <w:sz w:val="24"/>
          <w:szCs w:val="24"/>
          <w:lang w:eastAsia="nl-NL"/>
        </w:rPr>
        <w:t>:</w:t>
      </w:r>
      <w:proofErr w:type="gramEnd"/>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The IFC is seeking a consulting firm for this assignment. The Consultant should be a well-established firm working in the area of data reporting and analytics in the financial industry with proven experience and technological capabilities in collecting, processing and disseminating data, on a global scale</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FUNDING SOURCE</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CD774B">
        <w:rPr>
          <w:rFonts w:ascii="Times New Roman" w:eastAsia="Times New Roman" w:hAnsi="Times New Roman" w:cs="Times New Roman"/>
          <w:sz w:val="24"/>
          <w:szCs w:val="24"/>
          <w:lang w:eastAsia="nl-NL"/>
        </w:rPr>
        <w:br/>
        <w:t xml:space="preserve">- SME BANKING PROGRAM - STRENGTHENING INSTITUTIONS AND BEST </w:t>
      </w:r>
      <w:r w:rsidRPr="00CD774B">
        <w:rPr>
          <w:rFonts w:ascii="Times New Roman" w:eastAsia="Times New Roman" w:hAnsi="Times New Roman" w:cs="Times New Roman"/>
          <w:sz w:val="24"/>
          <w:szCs w:val="24"/>
          <w:lang w:eastAsia="nl-NL"/>
        </w:rPr>
        <w:lastRenderedPageBreak/>
        <w:t>PRACTICES</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INDIVIDUAL / FIRM PROFILE</w:t>
      </w:r>
      <w:r w:rsidRPr="00CD774B">
        <w:rPr>
          <w:rFonts w:ascii="Times New Roman" w:eastAsia="Times New Roman" w:hAnsi="Times New Roman" w:cs="Times New Roman"/>
          <w:sz w:val="24"/>
          <w:szCs w:val="24"/>
          <w:lang w:eastAsia="nl-NL"/>
        </w:rPr>
        <w:br/>
        <w:t xml:space="preserve">The consultant will be a firm. </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SUBMISSION REQUIREMENTS</w:t>
      </w:r>
      <w:r w:rsidRPr="00CD774B">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Interested firms are hereby invited to submit expressions of interest.</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CD774B">
        <w:rPr>
          <w:rFonts w:ascii="Times New Roman" w:eastAsia="Times New Roman" w:hAnsi="Times New Roman" w:cs="Times New Roman"/>
          <w:sz w:val="24"/>
          <w:szCs w:val="24"/>
          <w:lang w:eastAsia="nl-NL"/>
        </w:rPr>
        <w:t>eTendering</w:t>
      </w:r>
      <w:proofErr w:type="spellEnd"/>
      <w:r w:rsidRPr="00CD774B">
        <w:rPr>
          <w:rFonts w:ascii="Times New Roman" w:eastAsia="Times New Roman" w:hAnsi="Times New Roman" w:cs="Times New Roman"/>
          <w:sz w:val="24"/>
          <w:szCs w:val="24"/>
          <w:lang w:eastAsia="nl-NL"/>
        </w:rPr>
        <w:t xml:space="preserve"> (https://wbgeconsult2.worldbank.org/wbgec/index.html)</w:t>
      </w:r>
      <w:r w:rsidRPr="00CD774B">
        <w:rPr>
          <w:rFonts w:ascii="Times New Roman" w:eastAsia="Times New Roman" w:hAnsi="Times New Roman" w:cs="Times New Roman"/>
          <w:sz w:val="24"/>
          <w:szCs w:val="24"/>
          <w:lang w:eastAsia="nl-NL"/>
        </w:rPr>
        <w:br/>
      </w:r>
      <w:r w:rsidRPr="00CD774B">
        <w:rPr>
          <w:rFonts w:ascii="Times New Roman" w:eastAsia="Times New Roman" w:hAnsi="Times New Roman" w:cs="Times New Roman"/>
          <w:sz w:val="24"/>
          <w:szCs w:val="24"/>
          <w:lang w:eastAsia="nl-NL"/>
        </w:rPr>
        <w:br/>
        <w:t>NOTES</w:t>
      </w:r>
      <w:r w:rsidRPr="00CD774B">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CD774B" w:rsidRPr="00CD774B" w:rsidRDefault="00CD774B" w:rsidP="00CD774B">
      <w:pPr>
        <w:spacing w:after="0"/>
        <w:rPr>
          <w:rFonts w:ascii="Times New Roman" w:eastAsia="Times New Roman" w:hAnsi="Times New Roman" w:cs="Times New Roman"/>
          <w:sz w:val="24"/>
          <w:szCs w:val="24"/>
          <w:lang w:val="nl-NL" w:eastAsia="nl-NL"/>
        </w:rPr>
      </w:pPr>
      <w:proofErr w:type="spellStart"/>
      <w:r w:rsidRPr="00CD774B">
        <w:rPr>
          <w:rFonts w:ascii="Times New Roman" w:eastAsia="Times New Roman" w:hAnsi="Times New Roman" w:cs="Times New Roman"/>
          <w:sz w:val="24"/>
          <w:szCs w:val="24"/>
          <w:lang w:val="nl-NL" w:eastAsia="nl-NL"/>
        </w:rPr>
        <w:t>Qualification</w:t>
      </w:r>
      <w:proofErr w:type="spellEnd"/>
      <w:r w:rsidRPr="00CD774B">
        <w:rPr>
          <w:rFonts w:ascii="Times New Roman" w:eastAsia="Times New Roman" w:hAnsi="Times New Roman" w:cs="Times New Roman"/>
          <w:sz w:val="24"/>
          <w:szCs w:val="24"/>
          <w:lang w:val="nl-NL" w:eastAsia="nl-NL"/>
        </w:rPr>
        <w:t xml:space="preserve"> Criteria </w:t>
      </w:r>
    </w:p>
    <w:p w:rsidR="00CD774B" w:rsidRPr="00CD774B" w:rsidRDefault="00CD774B" w:rsidP="00CD774B">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D774B">
        <w:rPr>
          <w:rFonts w:ascii="Times New Roman" w:eastAsia="Times New Roman" w:hAnsi="Times New Roman" w:cs="Times New Roman"/>
          <w:b/>
          <w:bCs/>
          <w:sz w:val="24"/>
          <w:szCs w:val="24"/>
          <w:lang w:eastAsia="nl-NL"/>
        </w:rPr>
        <w:t>1.</w:t>
      </w:r>
      <w:r w:rsidRPr="00CD774B">
        <w:rPr>
          <w:rFonts w:ascii="Times New Roman" w:eastAsia="Times New Roman" w:hAnsi="Times New Roman" w:cs="Times New Roman"/>
          <w:sz w:val="24"/>
          <w:szCs w:val="24"/>
          <w:lang w:eastAsia="nl-NL"/>
        </w:rPr>
        <w:t xml:space="preserve"> Describe the Firms past experience in working with data management / reporting in the Microfinance sector and any strategic development plan in this area; *</w:t>
      </w:r>
    </w:p>
    <w:p w:rsidR="00CD774B" w:rsidRPr="00CD774B" w:rsidRDefault="00CD774B" w:rsidP="00CD774B">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D774B">
        <w:rPr>
          <w:rFonts w:ascii="Times New Roman" w:eastAsia="Times New Roman" w:hAnsi="Times New Roman" w:cs="Times New Roman"/>
          <w:b/>
          <w:bCs/>
          <w:sz w:val="24"/>
          <w:szCs w:val="24"/>
          <w:lang w:eastAsia="nl-NL"/>
        </w:rPr>
        <w:t>2.</w:t>
      </w:r>
      <w:r w:rsidRPr="00CD774B">
        <w:rPr>
          <w:rFonts w:ascii="Times New Roman" w:eastAsia="Times New Roman" w:hAnsi="Times New Roman" w:cs="Times New Roman"/>
          <w:sz w:val="24"/>
          <w:szCs w:val="24"/>
          <w:lang w:eastAsia="nl-NL"/>
        </w:rPr>
        <w:t xml:space="preserve"> Describe the Firms past experience in working with data management / reporting in the Banking sector and any strategic development plan in this area *</w:t>
      </w:r>
    </w:p>
    <w:p w:rsidR="00CD774B" w:rsidRPr="00CD774B" w:rsidRDefault="00CD774B" w:rsidP="00CD774B">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CD774B">
        <w:rPr>
          <w:rFonts w:ascii="Times New Roman" w:eastAsia="Times New Roman" w:hAnsi="Times New Roman" w:cs="Times New Roman"/>
          <w:b/>
          <w:bCs/>
          <w:sz w:val="24"/>
          <w:szCs w:val="24"/>
          <w:lang w:eastAsia="nl-NL"/>
        </w:rPr>
        <w:t>3.</w:t>
      </w:r>
      <w:r w:rsidRPr="00CD774B">
        <w:rPr>
          <w:rFonts w:ascii="Times New Roman" w:eastAsia="Times New Roman" w:hAnsi="Times New Roman" w:cs="Times New Roman"/>
          <w:sz w:val="24"/>
          <w:szCs w:val="24"/>
          <w:lang w:eastAsia="nl-NL"/>
        </w:rPr>
        <w:t xml:space="preserve"> Provide information about the Firms regional presence: what is the Firms regional outreach and how well positioned is it to work and communicate with clients in globally. Provide information about the potential resource management (approximate count staff involved, team composition, background / qualification of management and project team *</w:t>
      </w:r>
    </w:p>
    <w:p w:rsidR="00CD774B" w:rsidRPr="00CD774B" w:rsidRDefault="00CD774B" w:rsidP="00CD774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CD774B">
        <w:rPr>
          <w:rFonts w:ascii="Times New Roman" w:eastAsia="Times New Roman" w:hAnsi="Times New Roman" w:cs="Times New Roman"/>
          <w:b/>
          <w:bCs/>
          <w:sz w:val="24"/>
          <w:szCs w:val="24"/>
          <w:lang w:eastAsia="nl-NL"/>
        </w:rPr>
        <w:t>4.</w:t>
      </w:r>
      <w:r w:rsidRPr="00CD774B">
        <w:rPr>
          <w:rFonts w:ascii="Times New Roman" w:eastAsia="Times New Roman" w:hAnsi="Times New Roman" w:cs="Times New Roman"/>
          <w:sz w:val="24"/>
          <w:szCs w:val="24"/>
          <w:lang w:eastAsia="nl-NL"/>
        </w:rPr>
        <w:t xml:space="preserve"> Provide information about the Firms technical capabilities and IT infrastructure relevant for undertaking the assignment. </w:t>
      </w:r>
      <w:r w:rsidRPr="00CD774B">
        <w:rPr>
          <w:rFonts w:ascii="Times New Roman" w:eastAsia="Times New Roman" w:hAnsi="Times New Roman" w:cs="Times New Roman"/>
          <w:sz w:val="24"/>
          <w:szCs w:val="24"/>
          <w:lang w:val="nl-NL" w:eastAsia="nl-NL"/>
        </w:rPr>
        <w:t>*</w:t>
      </w:r>
    </w:p>
    <w:p w:rsidR="00CD774B" w:rsidRPr="00CD774B" w:rsidRDefault="00CD774B" w:rsidP="00CD774B">
      <w:pPr>
        <w:spacing w:after="0"/>
        <w:rPr>
          <w:rFonts w:ascii="Times New Roman" w:eastAsia="Times New Roman" w:hAnsi="Times New Roman" w:cs="Times New Roman"/>
          <w:sz w:val="24"/>
          <w:szCs w:val="24"/>
          <w:lang w:val="nl-NL" w:eastAsia="nl-NL"/>
        </w:rPr>
      </w:pPr>
      <w:r w:rsidRPr="00CD774B">
        <w:rPr>
          <w:rFonts w:ascii="Times New Roman" w:eastAsia="Times New Roman" w:hAnsi="Times New Roman" w:cs="Times New Roman"/>
          <w:sz w:val="24"/>
          <w:szCs w:val="24"/>
          <w:lang w:val="nl-NL" w:eastAsia="nl-NL"/>
        </w:rPr>
        <w:t xml:space="preserve">* - </w:t>
      </w:r>
      <w:proofErr w:type="spellStart"/>
      <w:r w:rsidRPr="00CD774B">
        <w:rPr>
          <w:rFonts w:ascii="Times New Roman" w:eastAsia="Times New Roman" w:hAnsi="Times New Roman" w:cs="Times New Roman"/>
          <w:sz w:val="24"/>
          <w:szCs w:val="24"/>
          <w:lang w:val="nl-NL" w:eastAsia="nl-NL"/>
        </w:rPr>
        <w:t>Mandatory</w:t>
      </w:r>
      <w:proofErr w:type="spellEnd"/>
    </w:p>
    <w:p w:rsidR="00CD774B" w:rsidRPr="00CD774B" w:rsidRDefault="00CD774B" w:rsidP="00CD774B">
      <w:pPr>
        <w:spacing w:after="0"/>
        <w:rPr>
          <w:rFonts w:ascii="Times New Roman" w:eastAsia="Times New Roman" w:hAnsi="Times New Roman" w:cs="Times New Roman"/>
          <w:sz w:val="24"/>
          <w:szCs w:val="24"/>
          <w:lang w:eastAsia="nl-NL"/>
        </w:rPr>
      </w:pPr>
      <w:r w:rsidRPr="00CD774B">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C73C2"/>
    <w:multiLevelType w:val="multilevel"/>
    <w:tmpl w:val="38244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3702AA7"/>
    <w:multiLevelType w:val="multilevel"/>
    <w:tmpl w:val="2C947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C65C0F"/>
    <w:multiLevelType w:val="multilevel"/>
    <w:tmpl w:val="E5406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74B"/>
    <w:rsid w:val="00CD774B"/>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D77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CD77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6829907">
      <w:bodyDiv w:val="1"/>
      <w:marLeft w:val="0"/>
      <w:marRight w:val="0"/>
      <w:marTop w:val="0"/>
      <w:marBottom w:val="0"/>
      <w:divBdr>
        <w:top w:val="none" w:sz="0" w:space="0" w:color="auto"/>
        <w:left w:val="none" w:sz="0" w:space="0" w:color="auto"/>
        <w:bottom w:val="none" w:sz="0" w:space="0" w:color="auto"/>
        <w:right w:val="none" w:sz="0" w:space="0" w:color="auto"/>
      </w:divBdr>
      <w:divsChild>
        <w:div w:id="2104259492">
          <w:marLeft w:val="0"/>
          <w:marRight w:val="0"/>
          <w:marTop w:val="0"/>
          <w:marBottom w:val="0"/>
          <w:divBdr>
            <w:top w:val="none" w:sz="0" w:space="0" w:color="auto"/>
            <w:left w:val="none" w:sz="0" w:space="0" w:color="auto"/>
            <w:bottom w:val="none" w:sz="0" w:space="0" w:color="auto"/>
            <w:right w:val="none" w:sz="0" w:space="0" w:color="auto"/>
          </w:divBdr>
        </w:div>
        <w:div w:id="347290254">
          <w:marLeft w:val="0"/>
          <w:marRight w:val="0"/>
          <w:marTop w:val="0"/>
          <w:marBottom w:val="0"/>
          <w:divBdr>
            <w:top w:val="none" w:sz="0" w:space="0" w:color="auto"/>
            <w:left w:val="none" w:sz="0" w:space="0" w:color="auto"/>
            <w:bottom w:val="none" w:sz="0" w:space="0" w:color="auto"/>
            <w:right w:val="none" w:sz="0" w:space="0" w:color="auto"/>
          </w:divBdr>
          <w:divsChild>
            <w:div w:id="1016153831">
              <w:marLeft w:val="0"/>
              <w:marRight w:val="0"/>
              <w:marTop w:val="0"/>
              <w:marBottom w:val="0"/>
              <w:divBdr>
                <w:top w:val="none" w:sz="0" w:space="0" w:color="auto"/>
                <w:left w:val="none" w:sz="0" w:space="0" w:color="auto"/>
                <w:bottom w:val="none" w:sz="0" w:space="0" w:color="auto"/>
                <w:right w:val="none" w:sz="0" w:space="0" w:color="auto"/>
              </w:divBdr>
              <w:divsChild>
                <w:div w:id="192575915">
                  <w:marLeft w:val="0"/>
                  <w:marRight w:val="0"/>
                  <w:marTop w:val="0"/>
                  <w:marBottom w:val="0"/>
                  <w:divBdr>
                    <w:top w:val="none" w:sz="0" w:space="0" w:color="auto"/>
                    <w:left w:val="none" w:sz="0" w:space="0" w:color="auto"/>
                    <w:bottom w:val="none" w:sz="0" w:space="0" w:color="auto"/>
                    <w:right w:val="none" w:sz="0" w:space="0" w:color="auto"/>
                  </w:divBdr>
                </w:div>
              </w:divsChild>
            </w:div>
            <w:div w:id="1469007172">
              <w:marLeft w:val="0"/>
              <w:marRight w:val="0"/>
              <w:marTop w:val="0"/>
              <w:marBottom w:val="0"/>
              <w:divBdr>
                <w:top w:val="none" w:sz="0" w:space="0" w:color="auto"/>
                <w:left w:val="none" w:sz="0" w:space="0" w:color="auto"/>
                <w:bottom w:val="none" w:sz="0" w:space="0" w:color="auto"/>
                <w:right w:val="none" w:sz="0" w:space="0" w:color="auto"/>
              </w:divBdr>
              <w:divsChild>
                <w:div w:id="481459805">
                  <w:marLeft w:val="0"/>
                  <w:marRight w:val="0"/>
                  <w:marTop w:val="0"/>
                  <w:marBottom w:val="0"/>
                  <w:divBdr>
                    <w:top w:val="none" w:sz="0" w:space="0" w:color="auto"/>
                    <w:left w:val="none" w:sz="0" w:space="0" w:color="auto"/>
                    <w:bottom w:val="none" w:sz="0" w:space="0" w:color="auto"/>
                    <w:right w:val="none" w:sz="0" w:space="0" w:color="auto"/>
                  </w:divBdr>
                </w:div>
                <w:div w:id="1759255783">
                  <w:marLeft w:val="0"/>
                  <w:marRight w:val="0"/>
                  <w:marTop w:val="0"/>
                  <w:marBottom w:val="0"/>
                  <w:divBdr>
                    <w:top w:val="none" w:sz="0" w:space="0" w:color="auto"/>
                    <w:left w:val="none" w:sz="0" w:space="0" w:color="auto"/>
                    <w:bottom w:val="none" w:sz="0" w:space="0" w:color="auto"/>
                    <w:right w:val="none" w:sz="0" w:space="0" w:color="auto"/>
                  </w:divBdr>
                </w:div>
              </w:divsChild>
            </w:div>
            <w:div w:id="516040914">
              <w:marLeft w:val="0"/>
              <w:marRight w:val="0"/>
              <w:marTop w:val="0"/>
              <w:marBottom w:val="0"/>
              <w:divBdr>
                <w:top w:val="none" w:sz="0" w:space="0" w:color="auto"/>
                <w:left w:val="none" w:sz="0" w:space="0" w:color="auto"/>
                <w:bottom w:val="none" w:sz="0" w:space="0" w:color="auto"/>
                <w:right w:val="none" w:sz="0" w:space="0" w:color="auto"/>
              </w:divBdr>
              <w:divsChild>
                <w:div w:id="1609585735">
                  <w:marLeft w:val="0"/>
                  <w:marRight w:val="0"/>
                  <w:marTop w:val="0"/>
                  <w:marBottom w:val="0"/>
                  <w:divBdr>
                    <w:top w:val="none" w:sz="0" w:space="0" w:color="auto"/>
                    <w:left w:val="none" w:sz="0" w:space="0" w:color="auto"/>
                    <w:bottom w:val="none" w:sz="0" w:space="0" w:color="auto"/>
                    <w:right w:val="none" w:sz="0" w:space="0" w:color="auto"/>
                  </w:divBdr>
                </w:div>
                <w:div w:id="1420982691">
                  <w:marLeft w:val="0"/>
                  <w:marRight w:val="0"/>
                  <w:marTop w:val="0"/>
                  <w:marBottom w:val="0"/>
                  <w:divBdr>
                    <w:top w:val="none" w:sz="0" w:space="0" w:color="auto"/>
                    <w:left w:val="none" w:sz="0" w:space="0" w:color="auto"/>
                    <w:bottom w:val="none" w:sz="0" w:space="0" w:color="auto"/>
                    <w:right w:val="none" w:sz="0" w:space="0" w:color="auto"/>
                  </w:divBdr>
                </w:div>
              </w:divsChild>
            </w:div>
            <w:div w:id="111215029">
              <w:marLeft w:val="0"/>
              <w:marRight w:val="0"/>
              <w:marTop w:val="0"/>
              <w:marBottom w:val="0"/>
              <w:divBdr>
                <w:top w:val="none" w:sz="0" w:space="0" w:color="auto"/>
                <w:left w:val="none" w:sz="0" w:space="0" w:color="auto"/>
                <w:bottom w:val="none" w:sz="0" w:space="0" w:color="auto"/>
                <w:right w:val="none" w:sz="0" w:space="0" w:color="auto"/>
              </w:divBdr>
              <w:divsChild>
                <w:div w:id="359624887">
                  <w:marLeft w:val="0"/>
                  <w:marRight w:val="0"/>
                  <w:marTop w:val="0"/>
                  <w:marBottom w:val="0"/>
                  <w:divBdr>
                    <w:top w:val="none" w:sz="0" w:space="0" w:color="auto"/>
                    <w:left w:val="none" w:sz="0" w:space="0" w:color="auto"/>
                    <w:bottom w:val="none" w:sz="0" w:space="0" w:color="auto"/>
                    <w:right w:val="none" w:sz="0" w:space="0" w:color="auto"/>
                  </w:divBdr>
                </w:div>
                <w:div w:id="1007363205">
                  <w:marLeft w:val="0"/>
                  <w:marRight w:val="0"/>
                  <w:marTop w:val="0"/>
                  <w:marBottom w:val="0"/>
                  <w:divBdr>
                    <w:top w:val="none" w:sz="0" w:space="0" w:color="auto"/>
                    <w:left w:val="none" w:sz="0" w:space="0" w:color="auto"/>
                    <w:bottom w:val="none" w:sz="0" w:space="0" w:color="auto"/>
                    <w:right w:val="none" w:sz="0" w:space="0" w:color="auto"/>
                  </w:divBdr>
                </w:div>
              </w:divsChild>
            </w:div>
            <w:div w:id="1343895152">
              <w:marLeft w:val="0"/>
              <w:marRight w:val="0"/>
              <w:marTop w:val="0"/>
              <w:marBottom w:val="0"/>
              <w:divBdr>
                <w:top w:val="none" w:sz="0" w:space="0" w:color="auto"/>
                <w:left w:val="none" w:sz="0" w:space="0" w:color="auto"/>
                <w:bottom w:val="none" w:sz="0" w:space="0" w:color="auto"/>
                <w:right w:val="none" w:sz="0" w:space="0" w:color="auto"/>
              </w:divBdr>
              <w:divsChild>
                <w:div w:id="186528723">
                  <w:marLeft w:val="0"/>
                  <w:marRight w:val="0"/>
                  <w:marTop w:val="0"/>
                  <w:marBottom w:val="0"/>
                  <w:divBdr>
                    <w:top w:val="none" w:sz="0" w:space="0" w:color="auto"/>
                    <w:left w:val="none" w:sz="0" w:space="0" w:color="auto"/>
                    <w:bottom w:val="none" w:sz="0" w:space="0" w:color="auto"/>
                    <w:right w:val="none" w:sz="0" w:space="0" w:color="auto"/>
                  </w:divBdr>
                </w:div>
                <w:div w:id="1285966308">
                  <w:marLeft w:val="0"/>
                  <w:marRight w:val="0"/>
                  <w:marTop w:val="0"/>
                  <w:marBottom w:val="0"/>
                  <w:divBdr>
                    <w:top w:val="none" w:sz="0" w:space="0" w:color="auto"/>
                    <w:left w:val="none" w:sz="0" w:space="0" w:color="auto"/>
                    <w:bottom w:val="none" w:sz="0" w:space="0" w:color="auto"/>
                    <w:right w:val="none" w:sz="0" w:space="0" w:color="auto"/>
                  </w:divBdr>
                </w:div>
              </w:divsChild>
            </w:div>
            <w:div w:id="1806580255">
              <w:marLeft w:val="0"/>
              <w:marRight w:val="0"/>
              <w:marTop w:val="0"/>
              <w:marBottom w:val="0"/>
              <w:divBdr>
                <w:top w:val="none" w:sz="0" w:space="0" w:color="auto"/>
                <w:left w:val="none" w:sz="0" w:space="0" w:color="auto"/>
                <w:bottom w:val="none" w:sz="0" w:space="0" w:color="auto"/>
                <w:right w:val="none" w:sz="0" w:space="0" w:color="auto"/>
              </w:divBdr>
              <w:divsChild>
                <w:div w:id="2096238793">
                  <w:marLeft w:val="0"/>
                  <w:marRight w:val="0"/>
                  <w:marTop w:val="0"/>
                  <w:marBottom w:val="0"/>
                  <w:divBdr>
                    <w:top w:val="none" w:sz="0" w:space="0" w:color="auto"/>
                    <w:left w:val="none" w:sz="0" w:space="0" w:color="auto"/>
                    <w:bottom w:val="none" w:sz="0" w:space="0" w:color="auto"/>
                    <w:right w:val="none" w:sz="0" w:space="0" w:color="auto"/>
                  </w:divBdr>
                </w:div>
                <w:div w:id="1008413425">
                  <w:marLeft w:val="0"/>
                  <w:marRight w:val="0"/>
                  <w:marTop w:val="0"/>
                  <w:marBottom w:val="0"/>
                  <w:divBdr>
                    <w:top w:val="none" w:sz="0" w:space="0" w:color="auto"/>
                    <w:left w:val="none" w:sz="0" w:space="0" w:color="auto"/>
                    <w:bottom w:val="none" w:sz="0" w:space="0" w:color="auto"/>
                    <w:right w:val="none" w:sz="0" w:space="0" w:color="auto"/>
                  </w:divBdr>
                </w:div>
              </w:divsChild>
            </w:div>
            <w:div w:id="2034838770">
              <w:marLeft w:val="0"/>
              <w:marRight w:val="0"/>
              <w:marTop w:val="0"/>
              <w:marBottom w:val="0"/>
              <w:divBdr>
                <w:top w:val="none" w:sz="0" w:space="0" w:color="auto"/>
                <w:left w:val="none" w:sz="0" w:space="0" w:color="auto"/>
                <w:bottom w:val="none" w:sz="0" w:space="0" w:color="auto"/>
                <w:right w:val="none" w:sz="0" w:space="0" w:color="auto"/>
              </w:divBdr>
              <w:divsChild>
                <w:div w:id="1073160886">
                  <w:marLeft w:val="0"/>
                  <w:marRight w:val="0"/>
                  <w:marTop w:val="0"/>
                  <w:marBottom w:val="0"/>
                  <w:divBdr>
                    <w:top w:val="none" w:sz="0" w:space="0" w:color="auto"/>
                    <w:left w:val="none" w:sz="0" w:space="0" w:color="auto"/>
                    <w:bottom w:val="none" w:sz="0" w:space="0" w:color="auto"/>
                    <w:right w:val="none" w:sz="0" w:space="0" w:color="auto"/>
                  </w:divBdr>
                </w:div>
                <w:div w:id="1331178299">
                  <w:marLeft w:val="0"/>
                  <w:marRight w:val="0"/>
                  <w:marTop w:val="0"/>
                  <w:marBottom w:val="0"/>
                  <w:divBdr>
                    <w:top w:val="none" w:sz="0" w:space="0" w:color="auto"/>
                    <w:left w:val="none" w:sz="0" w:space="0" w:color="auto"/>
                    <w:bottom w:val="none" w:sz="0" w:space="0" w:color="auto"/>
                    <w:right w:val="none" w:sz="0" w:space="0" w:color="auto"/>
                  </w:divBdr>
                </w:div>
              </w:divsChild>
            </w:div>
            <w:div w:id="1574655226">
              <w:marLeft w:val="0"/>
              <w:marRight w:val="0"/>
              <w:marTop w:val="0"/>
              <w:marBottom w:val="0"/>
              <w:divBdr>
                <w:top w:val="none" w:sz="0" w:space="0" w:color="auto"/>
                <w:left w:val="none" w:sz="0" w:space="0" w:color="auto"/>
                <w:bottom w:val="none" w:sz="0" w:space="0" w:color="auto"/>
                <w:right w:val="none" w:sz="0" w:space="0" w:color="auto"/>
              </w:divBdr>
              <w:divsChild>
                <w:div w:id="1144738986">
                  <w:marLeft w:val="0"/>
                  <w:marRight w:val="0"/>
                  <w:marTop w:val="0"/>
                  <w:marBottom w:val="0"/>
                  <w:divBdr>
                    <w:top w:val="none" w:sz="0" w:space="0" w:color="auto"/>
                    <w:left w:val="none" w:sz="0" w:space="0" w:color="auto"/>
                    <w:bottom w:val="none" w:sz="0" w:space="0" w:color="auto"/>
                    <w:right w:val="none" w:sz="0" w:space="0" w:color="auto"/>
                  </w:divBdr>
                </w:div>
                <w:div w:id="305477041">
                  <w:marLeft w:val="0"/>
                  <w:marRight w:val="0"/>
                  <w:marTop w:val="0"/>
                  <w:marBottom w:val="0"/>
                  <w:divBdr>
                    <w:top w:val="none" w:sz="0" w:space="0" w:color="auto"/>
                    <w:left w:val="none" w:sz="0" w:space="0" w:color="auto"/>
                    <w:bottom w:val="none" w:sz="0" w:space="0" w:color="auto"/>
                    <w:right w:val="none" w:sz="0" w:space="0" w:color="auto"/>
                  </w:divBdr>
                </w:div>
              </w:divsChild>
            </w:div>
            <w:div w:id="574315863">
              <w:marLeft w:val="0"/>
              <w:marRight w:val="0"/>
              <w:marTop w:val="0"/>
              <w:marBottom w:val="0"/>
              <w:divBdr>
                <w:top w:val="none" w:sz="0" w:space="0" w:color="auto"/>
                <w:left w:val="none" w:sz="0" w:space="0" w:color="auto"/>
                <w:bottom w:val="none" w:sz="0" w:space="0" w:color="auto"/>
                <w:right w:val="none" w:sz="0" w:space="0" w:color="auto"/>
              </w:divBdr>
            </w:div>
            <w:div w:id="1216892350">
              <w:marLeft w:val="0"/>
              <w:marRight w:val="0"/>
              <w:marTop w:val="0"/>
              <w:marBottom w:val="0"/>
              <w:divBdr>
                <w:top w:val="none" w:sz="0" w:space="0" w:color="auto"/>
                <w:left w:val="none" w:sz="0" w:space="0" w:color="auto"/>
                <w:bottom w:val="none" w:sz="0" w:space="0" w:color="auto"/>
                <w:right w:val="none" w:sz="0" w:space="0" w:color="auto"/>
              </w:divBdr>
              <w:divsChild>
                <w:div w:id="1374112585">
                  <w:marLeft w:val="0"/>
                  <w:marRight w:val="0"/>
                  <w:marTop w:val="0"/>
                  <w:marBottom w:val="0"/>
                  <w:divBdr>
                    <w:top w:val="none" w:sz="0" w:space="0" w:color="auto"/>
                    <w:left w:val="none" w:sz="0" w:space="0" w:color="auto"/>
                    <w:bottom w:val="none" w:sz="0" w:space="0" w:color="auto"/>
                    <w:right w:val="none" w:sz="0" w:space="0" w:color="auto"/>
                  </w:divBdr>
                </w:div>
                <w:div w:id="1316300004">
                  <w:marLeft w:val="0"/>
                  <w:marRight w:val="0"/>
                  <w:marTop w:val="0"/>
                  <w:marBottom w:val="0"/>
                  <w:divBdr>
                    <w:top w:val="none" w:sz="0" w:space="0" w:color="auto"/>
                    <w:left w:val="none" w:sz="0" w:space="0" w:color="auto"/>
                    <w:bottom w:val="none" w:sz="0" w:space="0" w:color="auto"/>
                    <w:right w:val="none" w:sz="0" w:space="0" w:color="auto"/>
                  </w:divBdr>
                </w:div>
              </w:divsChild>
            </w:div>
            <w:div w:id="15541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6A3A0AE1</Template>
  <TotalTime>1</TotalTime>
  <Pages>4</Pages>
  <Words>1474</Words>
  <Characters>8112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2015-10-07T20:22:00Z</dcterms:created>
  <dcterms:modified xsi:type="dcterms:W3CDTF">2015-10-07T20:23:00Z</dcterms:modified>
</cp:coreProperties>
</file>