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06FA" w:rsidRPr="00C106FA" w:rsidRDefault="00C106FA" w:rsidP="00C106FA">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C106FA">
        <w:rPr>
          <w:rFonts w:ascii="Times New Roman" w:eastAsia="Times New Roman" w:hAnsi="Times New Roman" w:cs="Times New Roman"/>
          <w:sz w:val="24"/>
          <w:szCs w:val="24"/>
          <w:lang w:eastAsia="nl-NL"/>
        </w:rPr>
        <w:t>equest for expression of interest for selection # 1196775</w:t>
      </w:r>
    </w:p>
    <w:p w:rsidR="00C106FA" w:rsidRDefault="00C106FA" w:rsidP="00C106FA">
      <w:pPr>
        <w:spacing w:after="0"/>
        <w:rPr>
          <w:rFonts w:ascii="Times New Roman" w:eastAsia="Times New Roman" w:hAnsi="Times New Roman" w:cs="Times New Roman"/>
          <w:sz w:val="24"/>
          <w:szCs w:val="24"/>
          <w:lang w:eastAsia="nl-NL"/>
        </w:rPr>
      </w:pPr>
    </w:p>
    <w:p w:rsidR="00C106FA" w:rsidRPr="00C106FA" w:rsidRDefault="00C106FA" w:rsidP="00C106FA">
      <w:pPr>
        <w:spacing w:after="0"/>
        <w:rPr>
          <w:rFonts w:ascii="Times New Roman" w:eastAsia="Times New Roman" w:hAnsi="Times New Roman" w:cs="Times New Roman"/>
          <w:b/>
          <w:sz w:val="24"/>
          <w:szCs w:val="24"/>
          <w:lang w:eastAsia="nl-NL"/>
        </w:rPr>
      </w:pPr>
      <w:r w:rsidRPr="00C106FA">
        <w:rPr>
          <w:rFonts w:ascii="Times New Roman" w:eastAsia="Times New Roman" w:hAnsi="Times New Roman" w:cs="Times New Roman"/>
          <w:b/>
          <w:sz w:val="24"/>
          <w:szCs w:val="24"/>
          <w:lang w:eastAsia="nl-NL"/>
        </w:rPr>
        <w:t>Assignment Title</w:t>
      </w:r>
    </w:p>
    <w:p w:rsidR="00C106FA" w:rsidRPr="00C106FA" w:rsidRDefault="00C106FA" w:rsidP="00C106FA">
      <w:pPr>
        <w:spacing w:after="0"/>
        <w:rPr>
          <w:rFonts w:ascii="Times New Roman" w:eastAsia="Times New Roman" w:hAnsi="Times New Roman" w:cs="Times New Roman"/>
          <w:sz w:val="24"/>
          <w:szCs w:val="24"/>
          <w:lang w:eastAsia="nl-NL"/>
        </w:rPr>
      </w:pPr>
      <w:r w:rsidRPr="00C106FA">
        <w:rPr>
          <w:rFonts w:ascii="Times New Roman" w:eastAsia="Times New Roman" w:hAnsi="Times New Roman" w:cs="Times New Roman"/>
          <w:sz w:val="24"/>
          <w:szCs w:val="24"/>
          <w:lang w:eastAsia="nl-NL"/>
        </w:rPr>
        <w:t>Doing Business in Kenya 2016 data collection for Starting a business, Registering property, and Enforcing contracts indicators</w:t>
      </w:r>
    </w:p>
    <w:p w:rsidR="00C106FA" w:rsidRDefault="00C106FA" w:rsidP="00C106FA">
      <w:pPr>
        <w:spacing w:after="0"/>
        <w:rPr>
          <w:rFonts w:ascii="Times New Roman" w:eastAsia="Times New Roman" w:hAnsi="Times New Roman" w:cs="Times New Roman"/>
          <w:sz w:val="24"/>
          <w:szCs w:val="24"/>
          <w:lang w:eastAsia="nl-NL"/>
        </w:rPr>
      </w:pPr>
    </w:p>
    <w:p w:rsidR="00C106FA" w:rsidRPr="00C106FA" w:rsidRDefault="00C106FA" w:rsidP="00C106FA">
      <w:pPr>
        <w:spacing w:after="0"/>
        <w:rPr>
          <w:rFonts w:ascii="Times New Roman" w:eastAsia="Times New Roman" w:hAnsi="Times New Roman" w:cs="Times New Roman"/>
          <w:b/>
          <w:sz w:val="24"/>
          <w:szCs w:val="24"/>
          <w:lang w:eastAsia="nl-NL"/>
        </w:rPr>
      </w:pPr>
      <w:r w:rsidRPr="00C106FA">
        <w:rPr>
          <w:rFonts w:ascii="Times New Roman" w:eastAsia="Times New Roman" w:hAnsi="Times New Roman" w:cs="Times New Roman"/>
          <w:b/>
          <w:sz w:val="24"/>
          <w:szCs w:val="24"/>
          <w:lang w:eastAsia="nl-NL"/>
        </w:rPr>
        <w:t>Publication Date</w:t>
      </w:r>
    </w:p>
    <w:p w:rsidR="00C106FA" w:rsidRDefault="00C106FA" w:rsidP="00C106FA">
      <w:pPr>
        <w:spacing w:after="0"/>
        <w:rPr>
          <w:rFonts w:ascii="Times New Roman" w:eastAsia="Times New Roman" w:hAnsi="Times New Roman" w:cs="Times New Roman"/>
          <w:sz w:val="24"/>
          <w:szCs w:val="24"/>
          <w:lang w:eastAsia="nl-NL"/>
        </w:rPr>
      </w:pPr>
      <w:r w:rsidRPr="00C106FA">
        <w:rPr>
          <w:rFonts w:ascii="Times New Roman" w:eastAsia="Times New Roman" w:hAnsi="Times New Roman" w:cs="Times New Roman"/>
          <w:sz w:val="24"/>
          <w:szCs w:val="24"/>
          <w:lang w:eastAsia="nl-NL"/>
        </w:rPr>
        <w:t>18-Aug-2015</w:t>
      </w:r>
      <w:bookmarkStart w:id="0" w:name="_GoBack"/>
      <w:bookmarkEnd w:id="0"/>
    </w:p>
    <w:p w:rsidR="00C106FA" w:rsidRPr="00C106FA" w:rsidRDefault="00C106FA" w:rsidP="00C106FA">
      <w:pPr>
        <w:spacing w:after="0"/>
        <w:rPr>
          <w:rFonts w:ascii="Times New Roman" w:eastAsia="Times New Roman" w:hAnsi="Times New Roman" w:cs="Times New Roman"/>
          <w:sz w:val="24"/>
          <w:szCs w:val="24"/>
          <w:lang w:eastAsia="nl-NL"/>
        </w:rPr>
      </w:pPr>
    </w:p>
    <w:p w:rsidR="00C106FA" w:rsidRPr="00C106FA" w:rsidRDefault="00C106FA" w:rsidP="00C106FA">
      <w:pPr>
        <w:spacing w:after="0"/>
        <w:rPr>
          <w:rFonts w:ascii="Times New Roman" w:eastAsia="Times New Roman" w:hAnsi="Times New Roman" w:cs="Times New Roman"/>
          <w:b/>
          <w:sz w:val="24"/>
          <w:szCs w:val="24"/>
          <w:lang w:eastAsia="nl-NL"/>
        </w:rPr>
      </w:pPr>
      <w:r w:rsidRPr="00C106FA">
        <w:rPr>
          <w:rFonts w:ascii="Times New Roman" w:eastAsia="Times New Roman" w:hAnsi="Times New Roman" w:cs="Times New Roman"/>
          <w:b/>
          <w:sz w:val="24"/>
          <w:szCs w:val="24"/>
          <w:lang w:eastAsia="nl-NL"/>
        </w:rPr>
        <w:t>Expression of Interest Deadline</w:t>
      </w:r>
    </w:p>
    <w:p w:rsidR="00C106FA" w:rsidRPr="00C106FA" w:rsidRDefault="00C106FA" w:rsidP="00C106FA">
      <w:pPr>
        <w:spacing w:after="0"/>
        <w:rPr>
          <w:rFonts w:ascii="Times New Roman" w:eastAsia="Times New Roman" w:hAnsi="Times New Roman" w:cs="Times New Roman"/>
          <w:sz w:val="24"/>
          <w:szCs w:val="24"/>
          <w:lang w:eastAsia="nl-NL"/>
        </w:rPr>
      </w:pPr>
      <w:r w:rsidRPr="00C106FA">
        <w:rPr>
          <w:rFonts w:ascii="Times New Roman" w:eastAsia="Times New Roman" w:hAnsi="Times New Roman" w:cs="Times New Roman"/>
          <w:sz w:val="24"/>
          <w:szCs w:val="24"/>
          <w:lang w:eastAsia="nl-NL"/>
        </w:rPr>
        <w:t>01-Sep-2015 at 11:59:59 PM (Eastern Time – Washington D.C.)</w:t>
      </w:r>
    </w:p>
    <w:p w:rsidR="00C106FA" w:rsidRDefault="00C106FA" w:rsidP="00C106FA">
      <w:pPr>
        <w:spacing w:after="0"/>
        <w:rPr>
          <w:rFonts w:ascii="Times New Roman" w:eastAsia="Times New Roman" w:hAnsi="Times New Roman" w:cs="Times New Roman"/>
          <w:sz w:val="24"/>
          <w:szCs w:val="24"/>
          <w:lang w:eastAsia="nl-NL"/>
        </w:rPr>
      </w:pPr>
    </w:p>
    <w:p w:rsidR="00C106FA" w:rsidRPr="00C106FA" w:rsidRDefault="00C106FA" w:rsidP="00C106FA">
      <w:pPr>
        <w:spacing w:after="0"/>
        <w:rPr>
          <w:rFonts w:ascii="Times New Roman" w:eastAsia="Times New Roman" w:hAnsi="Times New Roman" w:cs="Times New Roman"/>
          <w:b/>
          <w:sz w:val="24"/>
          <w:szCs w:val="24"/>
          <w:lang w:eastAsia="nl-NL"/>
        </w:rPr>
      </w:pPr>
      <w:r w:rsidRPr="00C106FA">
        <w:rPr>
          <w:rFonts w:ascii="Times New Roman" w:eastAsia="Times New Roman" w:hAnsi="Times New Roman" w:cs="Times New Roman"/>
          <w:b/>
          <w:sz w:val="24"/>
          <w:szCs w:val="24"/>
          <w:lang w:eastAsia="nl-NL"/>
        </w:rPr>
        <w:t>Language of Notice</w:t>
      </w:r>
    </w:p>
    <w:p w:rsidR="00C106FA" w:rsidRPr="00C106FA" w:rsidRDefault="00C106FA" w:rsidP="00C106FA">
      <w:pPr>
        <w:spacing w:after="0"/>
        <w:rPr>
          <w:rFonts w:ascii="Times New Roman" w:eastAsia="Times New Roman" w:hAnsi="Times New Roman" w:cs="Times New Roman"/>
          <w:sz w:val="24"/>
          <w:szCs w:val="24"/>
          <w:lang w:eastAsia="nl-NL"/>
        </w:rPr>
      </w:pPr>
      <w:r w:rsidRPr="00C106FA">
        <w:rPr>
          <w:rFonts w:ascii="Times New Roman" w:eastAsia="Times New Roman" w:hAnsi="Times New Roman" w:cs="Times New Roman"/>
          <w:sz w:val="24"/>
          <w:szCs w:val="24"/>
          <w:lang w:eastAsia="nl-NL"/>
        </w:rPr>
        <w:t>English</w:t>
      </w:r>
    </w:p>
    <w:p w:rsidR="00C106FA" w:rsidRDefault="00C106FA" w:rsidP="00C106FA">
      <w:pPr>
        <w:spacing w:after="0"/>
        <w:rPr>
          <w:rFonts w:ascii="Times New Roman" w:eastAsia="Times New Roman" w:hAnsi="Times New Roman" w:cs="Times New Roman"/>
          <w:sz w:val="24"/>
          <w:szCs w:val="24"/>
          <w:lang w:eastAsia="nl-NL"/>
        </w:rPr>
      </w:pPr>
    </w:p>
    <w:p w:rsidR="00C106FA" w:rsidRPr="00C106FA" w:rsidRDefault="00C106FA" w:rsidP="00C106FA">
      <w:pPr>
        <w:spacing w:after="0"/>
        <w:rPr>
          <w:rFonts w:ascii="Times New Roman" w:eastAsia="Times New Roman" w:hAnsi="Times New Roman" w:cs="Times New Roman"/>
          <w:b/>
          <w:sz w:val="24"/>
          <w:szCs w:val="24"/>
          <w:lang w:eastAsia="nl-NL"/>
        </w:rPr>
      </w:pPr>
      <w:r w:rsidRPr="00C106FA">
        <w:rPr>
          <w:rFonts w:ascii="Times New Roman" w:eastAsia="Times New Roman" w:hAnsi="Times New Roman" w:cs="Times New Roman"/>
          <w:b/>
          <w:sz w:val="24"/>
          <w:szCs w:val="24"/>
          <w:lang w:eastAsia="nl-NL"/>
        </w:rPr>
        <w:t xml:space="preserve">Selection Notice </w:t>
      </w:r>
    </w:p>
    <w:p w:rsidR="00C106FA" w:rsidRPr="00C106FA" w:rsidRDefault="00C106FA" w:rsidP="00C106FA">
      <w:pPr>
        <w:spacing w:after="0"/>
        <w:rPr>
          <w:rFonts w:ascii="Times New Roman" w:eastAsia="Times New Roman" w:hAnsi="Times New Roman" w:cs="Times New Roman"/>
          <w:sz w:val="24"/>
          <w:szCs w:val="24"/>
          <w:lang w:val="nl-NL" w:eastAsia="nl-NL"/>
        </w:rPr>
      </w:pPr>
      <w:r w:rsidRPr="00C106FA">
        <w:rPr>
          <w:rFonts w:ascii="Times New Roman" w:eastAsia="Times New Roman" w:hAnsi="Times New Roman" w:cs="Times New Roman"/>
          <w:sz w:val="24"/>
          <w:szCs w:val="24"/>
          <w:lang w:val="nl-NL" w:eastAsia="nl-NL"/>
        </w:rPr>
        <w:t>Assignment Country</w:t>
      </w:r>
    </w:p>
    <w:p w:rsidR="00C106FA" w:rsidRPr="00C106FA" w:rsidRDefault="00C106FA" w:rsidP="00C106F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C106FA">
        <w:rPr>
          <w:rFonts w:ascii="Times New Roman" w:eastAsia="Times New Roman" w:hAnsi="Times New Roman" w:cs="Times New Roman"/>
          <w:sz w:val="24"/>
          <w:szCs w:val="24"/>
          <w:lang w:val="nl-NL" w:eastAsia="nl-NL"/>
        </w:rPr>
        <w:t>KE - Kenya</w:t>
      </w:r>
    </w:p>
    <w:p w:rsidR="00C106FA" w:rsidRPr="00C106FA" w:rsidRDefault="00C106FA" w:rsidP="00C106FA">
      <w:pPr>
        <w:spacing w:after="0"/>
        <w:rPr>
          <w:rFonts w:ascii="Times New Roman" w:eastAsia="Times New Roman" w:hAnsi="Times New Roman" w:cs="Times New Roman"/>
          <w:b/>
          <w:sz w:val="24"/>
          <w:szCs w:val="24"/>
          <w:lang w:val="nl-NL" w:eastAsia="nl-NL"/>
        </w:rPr>
      </w:pPr>
      <w:r w:rsidRPr="00C106FA">
        <w:rPr>
          <w:rFonts w:ascii="Times New Roman" w:eastAsia="Times New Roman" w:hAnsi="Times New Roman" w:cs="Times New Roman"/>
          <w:b/>
          <w:sz w:val="24"/>
          <w:szCs w:val="24"/>
          <w:lang w:val="nl-NL" w:eastAsia="nl-NL"/>
        </w:rPr>
        <w:t>Funding Sources</w:t>
      </w:r>
    </w:p>
    <w:p w:rsidR="00C106FA" w:rsidRPr="00C106FA" w:rsidRDefault="00C106FA" w:rsidP="00C106FA">
      <w:pPr>
        <w:spacing w:after="0"/>
        <w:rPr>
          <w:rFonts w:ascii="Times New Roman" w:eastAsia="Times New Roman" w:hAnsi="Times New Roman" w:cs="Times New Roman"/>
          <w:sz w:val="24"/>
          <w:szCs w:val="24"/>
          <w:lang w:eastAsia="nl-NL"/>
        </w:rPr>
      </w:pPr>
      <w:r w:rsidRPr="00C106FA">
        <w:rPr>
          <w:rFonts w:ascii="Times New Roman" w:eastAsia="Times New Roman" w:hAnsi="Times New Roman" w:cs="Times New Roman"/>
          <w:sz w:val="24"/>
          <w:szCs w:val="24"/>
          <w:lang w:eastAsia="nl-NL"/>
        </w:rPr>
        <w:t xml:space="preserve">The World Bank Group intends to finance the assignment/services under: </w:t>
      </w:r>
    </w:p>
    <w:p w:rsidR="00C106FA" w:rsidRPr="00C106FA" w:rsidRDefault="00C106FA" w:rsidP="00C106F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C106FA">
        <w:rPr>
          <w:rFonts w:ascii="Times New Roman" w:eastAsia="Times New Roman" w:hAnsi="Times New Roman" w:cs="Times New Roman"/>
          <w:sz w:val="24"/>
          <w:szCs w:val="24"/>
          <w:lang w:val="nl-NL" w:eastAsia="nl-NL"/>
        </w:rPr>
        <w:t>BB - BANK BUDGET</w:t>
      </w:r>
    </w:p>
    <w:p w:rsidR="00C106FA" w:rsidRPr="00C106FA" w:rsidRDefault="00C106FA" w:rsidP="00C106FA">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C106FA">
        <w:rPr>
          <w:rFonts w:ascii="Times New Roman" w:eastAsia="Times New Roman" w:hAnsi="Times New Roman" w:cs="Times New Roman"/>
          <w:sz w:val="24"/>
          <w:szCs w:val="24"/>
          <w:lang w:eastAsia="nl-NL"/>
        </w:rPr>
        <w:t>TF014088 - Sub-National Reg Reform (Kenya SNICP)</w:t>
      </w:r>
    </w:p>
    <w:p w:rsidR="00C106FA" w:rsidRPr="00C106FA" w:rsidRDefault="00C106FA" w:rsidP="00C106FA">
      <w:pPr>
        <w:spacing w:after="0"/>
        <w:rPr>
          <w:rFonts w:ascii="Times New Roman" w:eastAsia="Times New Roman" w:hAnsi="Times New Roman" w:cs="Times New Roman"/>
          <w:b/>
          <w:sz w:val="24"/>
          <w:szCs w:val="24"/>
          <w:lang w:eastAsia="nl-NL"/>
        </w:rPr>
      </w:pPr>
      <w:r w:rsidRPr="00C106FA">
        <w:rPr>
          <w:rFonts w:ascii="Times New Roman" w:eastAsia="Times New Roman" w:hAnsi="Times New Roman" w:cs="Times New Roman"/>
          <w:b/>
          <w:sz w:val="24"/>
          <w:szCs w:val="24"/>
          <w:lang w:eastAsia="nl-NL"/>
        </w:rPr>
        <w:t>Individual/Firm</w:t>
      </w:r>
    </w:p>
    <w:p w:rsidR="00C106FA" w:rsidRPr="00C106FA" w:rsidRDefault="00C106FA" w:rsidP="00C106FA">
      <w:pPr>
        <w:spacing w:after="0"/>
        <w:rPr>
          <w:rFonts w:ascii="Times New Roman" w:eastAsia="Times New Roman" w:hAnsi="Times New Roman" w:cs="Times New Roman"/>
          <w:sz w:val="24"/>
          <w:szCs w:val="24"/>
          <w:lang w:eastAsia="nl-NL"/>
        </w:rPr>
      </w:pPr>
      <w:r w:rsidRPr="00C106FA">
        <w:rPr>
          <w:rFonts w:ascii="Times New Roman" w:eastAsia="Times New Roman" w:hAnsi="Times New Roman" w:cs="Times New Roman"/>
          <w:sz w:val="24"/>
          <w:szCs w:val="24"/>
          <w:lang w:eastAsia="nl-NL"/>
        </w:rPr>
        <w:t xml:space="preserve">The consultant will be a firm. </w:t>
      </w:r>
    </w:p>
    <w:p w:rsidR="00C106FA" w:rsidRDefault="00C106FA" w:rsidP="00C106FA">
      <w:pPr>
        <w:spacing w:after="0"/>
        <w:rPr>
          <w:rFonts w:ascii="Times New Roman" w:eastAsia="Times New Roman" w:hAnsi="Times New Roman" w:cs="Times New Roman"/>
          <w:sz w:val="24"/>
          <w:szCs w:val="24"/>
          <w:lang w:val="nl-NL" w:eastAsia="nl-NL"/>
        </w:rPr>
      </w:pPr>
    </w:p>
    <w:p w:rsidR="00C106FA" w:rsidRPr="00C106FA" w:rsidRDefault="00C106FA" w:rsidP="00C106FA">
      <w:pPr>
        <w:spacing w:after="0"/>
        <w:rPr>
          <w:rFonts w:ascii="Times New Roman" w:eastAsia="Times New Roman" w:hAnsi="Times New Roman" w:cs="Times New Roman"/>
          <w:b/>
          <w:sz w:val="24"/>
          <w:szCs w:val="24"/>
          <w:lang w:val="nl-NL" w:eastAsia="nl-NL"/>
        </w:rPr>
      </w:pPr>
      <w:r w:rsidRPr="00C106FA">
        <w:rPr>
          <w:rFonts w:ascii="Times New Roman" w:eastAsia="Times New Roman" w:hAnsi="Times New Roman" w:cs="Times New Roman"/>
          <w:b/>
          <w:sz w:val="24"/>
          <w:szCs w:val="24"/>
          <w:lang w:val="nl-NL" w:eastAsia="nl-NL"/>
        </w:rPr>
        <w:t xml:space="preserve">Assignment Description </w:t>
      </w:r>
    </w:p>
    <w:p w:rsidR="00C106FA" w:rsidRDefault="00C106FA" w:rsidP="00C106FA">
      <w:pPr>
        <w:spacing w:after="0"/>
        <w:rPr>
          <w:rFonts w:ascii="Times New Roman" w:eastAsia="Times New Roman" w:hAnsi="Times New Roman" w:cs="Times New Roman"/>
          <w:sz w:val="24"/>
          <w:szCs w:val="24"/>
          <w:lang w:eastAsia="nl-NL"/>
        </w:rPr>
      </w:pPr>
      <w:r w:rsidRPr="00C106FA">
        <w:rPr>
          <w:rFonts w:ascii="Times New Roman" w:eastAsia="Times New Roman" w:hAnsi="Times New Roman" w:cs="Times New Roman"/>
          <w:sz w:val="24"/>
          <w:szCs w:val="24"/>
          <w:lang w:eastAsia="nl-NL"/>
        </w:rPr>
        <w:t>SELECTION FOR CONSULTANTS BY THE WORLD BANK GROUP</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REQUEST FOR EXPRESSIONS OF INTEREST</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Electronic Submissions through World Bank Group eConsultant2</w:t>
      </w:r>
      <w:r w:rsidRPr="00C106FA">
        <w:rPr>
          <w:rFonts w:ascii="Times New Roman" w:eastAsia="Times New Roman" w:hAnsi="Times New Roman" w:cs="Times New Roman"/>
          <w:sz w:val="24"/>
          <w:szCs w:val="24"/>
          <w:lang w:eastAsia="nl-NL"/>
        </w:rPr>
        <w:br/>
        <w:t>https://wbgeconsult2.worldbank.org/wbgec/index.html</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b/>
          <w:sz w:val="24"/>
          <w:szCs w:val="24"/>
          <w:lang w:eastAsia="nl-NL"/>
        </w:rPr>
        <w:t>ASSIGNMENT OVERVIEW</w:t>
      </w:r>
      <w:r w:rsidRPr="00C106FA">
        <w:rPr>
          <w:rFonts w:ascii="Times New Roman" w:eastAsia="Times New Roman" w:hAnsi="Times New Roman" w:cs="Times New Roman"/>
          <w:b/>
          <w:sz w:val="24"/>
          <w:szCs w:val="24"/>
          <w:lang w:eastAsia="nl-NL"/>
        </w:rPr>
        <w:br/>
      </w:r>
      <w:r w:rsidRPr="00C106FA">
        <w:rPr>
          <w:rFonts w:ascii="Times New Roman" w:eastAsia="Times New Roman" w:hAnsi="Times New Roman" w:cs="Times New Roman"/>
          <w:sz w:val="24"/>
          <w:szCs w:val="24"/>
          <w:lang w:eastAsia="nl-NL"/>
        </w:rPr>
        <w:br/>
        <w:t>Doing Business in Kenya 2016 data collection for Starting a business, Registering property, and Enforcing contracts indicators</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Assignment Countries:</w:t>
      </w:r>
      <w:r w:rsidRPr="00C106FA">
        <w:rPr>
          <w:rFonts w:ascii="Times New Roman" w:eastAsia="Times New Roman" w:hAnsi="Times New Roman" w:cs="Times New Roman"/>
          <w:sz w:val="24"/>
          <w:szCs w:val="24"/>
          <w:lang w:eastAsia="nl-NL"/>
        </w:rPr>
        <w:br/>
        <w:t>- Kenya</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r>
    </w:p>
    <w:p w:rsidR="00C106FA" w:rsidRPr="00C106FA" w:rsidRDefault="00C106FA" w:rsidP="00C106FA">
      <w:pPr>
        <w:spacing w:after="0"/>
        <w:rPr>
          <w:rFonts w:ascii="Times New Roman" w:eastAsia="Times New Roman" w:hAnsi="Times New Roman" w:cs="Times New Roman"/>
          <w:sz w:val="24"/>
          <w:szCs w:val="24"/>
          <w:lang w:eastAsia="nl-NL"/>
        </w:rPr>
      </w:pPr>
      <w:r w:rsidRPr="00C106FA">
        <w:rPr>
          <w:rFonts w:ascii="Times New Roman" w:eastAsia="Times New Roman" w:hAnsi="Times New Roman" w:cs="Times New Roman"/>
          <w:b/>
          <w:sz w:val="24"/>
          <w:szCs w:val="24"/>
          <w:lang w:eastAsia="nl-NL"/>
        </w:rPr>
        <w:lastRenderedPageBreak/>
        <w:t>ASSIGNMENT DESCRIPTION</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WBG is looking to hire a professional association, to act as a Consultant Organization to collect data on starting a business, registering property, and enforcing contracts indicators for the forthcoming Doing Business in Kenya study. In order to complete the data collection phase for this project, the Consultant Organization will supervise data collection for the three indicator areas. The Consultant Organization will identify questionnaire respondents, who are known practitioners in the areas benchmarked (e.g. lawyers, conveyancers, etc.). The Consultant Organization will subsequently distribute data collection questionnaires to respondents, collect data, conduct quality control of collected data, transfer collected data to DECSN (Subnational Doing Business team), and ensure that respondents fulfill their obligation of providing data and updates until the end of data collection phase.</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b/>
          <w:sz w:val="24"/>
          <w:szCs w:val="24"/>
          <w:lang w:eastAsia="nl-NL"/>
        </w:rPr>
        <w:t>SCOPE OF WORK</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 xml:space="preserve">WBG is looking to hire a legal firm, to act as the Consultant Organization, mentioned hereafter. In order to complete the data collection phase for this project, the Consultant Organization will supervise data collection in the areas of starting a business, registering property, and enforcing contracts. </w:t>
      </w:r>
      <w:r w:rsidRPr="00C106FA">
        <w:rPr>
          <w:rFonts w:ascii="Times New Roman" w:eastAsia="Times New Roman" w:hAnsi="Times New Roman" w:cs="Times New Roman"/>
          <w:sz w:val="24"/>
          <w:szCs w:val="24"/>
          <w:lang w:eastAsia="nl-NL"/>
        </w:rPr>
        <w:br/>
        <w:t xml:space="preserve">Starting a business: the indicator measures the number of procedures, time, cost and paid-in minimum capital required for small and medium-size limited liability companies to formally operate. The indicator serves as a proxy for business entry regulation. Reforms making it easier to start a formal business are associated with increases in the number of registered firms and sustained gains in economic performance. </w:t>
      </w:r>
      <w:r w:rsidRPr="00C106FA">
        <w:rPr>
          <w:rFonts w:ascii="Times New Roman" w:eastAsia="Times New Roman" w:hAnsi="Times New Roman" w:cs="Times New Roman"/>
          <w:sz w:val="24"/>
          <w:szCs w:val="24"/>
          <w:lang w:eastAsia="nl-NL"/>
        </w:rPr>
        <w:br/>
        <w:t>Registering property: the indicator records the full sequence of procedures necessary for a business to purchase a property from another business and to transfer the property title to the buyers name so that the buyer can use the property for expanding a business, or as collateral in taking new loans, or, if necessary, sell the property to another business. The indicator also includes an index measuring the overall quality of land administration systems through a set of indicators on reliability, transparency, coverage and dispute resolution. The indicator serves as a proxy for property rights institutions. Providing an efficient, transparent and affordable system to register new titles and transfer existing ones is an important first step toward guaranteeing secure access to land and improving access to credit.</w:t>
      </w:r>
      <w:r w:rsidRPr="00C106FA">
        <w:rPr>
          <w:rFonts w:ascii="Times New Roman" w:eastAsia="Times New Roman" w:hAnsi="Times New Roman" w:cs="Times New Roman"/>
          <w:sz w:val="24"/>
          <w:szCs w:val="24"/>
          <w:lang w:eastAsia="nl-NL"/>
        </w:rPr>
        <w:br/>
        <w:t>Enforcing contracts: the indicator measures the efficiency of the judicial system in resolving a commercial dispute. It focuses on the time and cost to resolve a commercial lawsuit, before a local court, between two domestic businesses. The indicator also includes an index assessing the overall judicial infrastructure, the level of automation in the court system, the availability of alternative dispute resolution mechanisms and the availability of case management. The indicator serves as a proxy for court efficiency. Research has shown that efficient contract enforcement is essential for a business-friendly environment because it reduces informality, improves access to credit and increases trade.</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The Consultant Organization will identify questionnaire respondents for the Subnational Doing Business assessment in the above mentioned 10 locations. In particular, the Consultant Organization will:</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lastRenderedPageBreak/>
        <w:t>1. Identify 3 to 5 questionnaire respondents in each of the 10 locations mentioned above for each of the indicators measured: starting a business, registering property and enforcing contracts. The sample of respondents will include incorporation lawyers, litigation lawyers and conveyancers that have relevant experience in one or more of the areas benchmarked by the project: incorporating a company, transferring a real estate property, and litigating before local courts. All the respondents must be known practitioners in the respective area, with regular contact with the local and national legal and administrative systems, and have the necessary expertise to understand the case study used by each indicator. Each respondent will complete a questionnaire that will be prepared by SNDB team and sent to the respondent by the Consultant Organization. Each respondent will also receive follow-up calls by members of the SNDB team to confirm and clarify answers in her/his questionnaire.</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 xml:space="preserve">2. Deliver a total number of questionnaires between 90 and 1503 to 5 questionnaires per indicator in 10 locations. </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3. The Consultant Organization will designate between 1 and 3 of its staff as project coordinators and liaisons to the SNDB tem, to be available for contact by the SNDB team, when needed.</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4. Provide contact details for each respondent clearly identified by location, including name of organization/individual, if organization, main contact name, telephone numbers, physical address, mailing address, email addresses, websites, area of specialization and/or practice, and any other information that may be relevant.</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5. Inform the identified respondents in advance of the data collection period.</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 xml:space="preserve">6. Ensure that the respondents fulfill their obligations in the time agreed between the Consultant Organization and the SNDB team, and replace respondents should any of the named persons provided by the Consultant Organization not be suitable or available for interviews. </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7. Conduct a first quality check of the questionnaires to ensure that they have been duly completed before submission to the SNDB team.</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8. Manage payments to the respondents, when applicableit is up to the Consultant Organization to determine the amount to be paid to each respondent, if any. The SNDB team expects the Consultant Organization to act in good faith and pay the respondents reasonable amounts, if compensation is the only way to ensure respondents commitment. In case conflicts with respondents arise due to payment issues, the Consultant Organization will be fully responsible to address them. The SNDB team is only entering into a contract with the Consultant Organization and bears no responsibility or obligation towards the respondents.</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III. Deliverables and Outputs Expected from the Consultant Organization</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 xml:space="preserve">1. Identify respondents: The Consultant Organization will recruit or subcontract local respondents in each of the 10 locations mentioned to answer the Doing Business questionnaires as per instructions listed above. The Consultant Organization will be available to respond to follow-up questions from the SNDB team. Moreover, the Consultant Organization will enable </w:t>
      </w:r>
      <w:r w:rsidRPr="00C106FA">
        <w:rPr>
          <w:rFonts w:ascii="Times New Roman" w:eastAsia="Times New Roman" w:hAnsi="Times New Roman" w:cs="Times New Roman"/>
          <w:sz w:val="24"/>
          <w:szCs w:val="24"/>
          <w:lang w:eastAsia="nl-NL"/>
        </w:rPr>
        <w:lastRenderedPageBreak/>
        <w:t xml:space="preserve">the SNDB team to get in touch directly with the respondents in the different locations and ensure that satisfactory answers to all inquiries are obtained. </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 xml:space="preserve">2. List of respondents: The Consultant Organization will deliver to the SNDB team a list of the selected respondents, including their telephone numbers, addresses and electronic mail addresses. The SNDB team reserves the right to refuse any of the respondents and ask the Consultant Organization to replace respondents whenever the SNDB team deems necessary. </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3. Review questionnaire templates: the Coordinating Organization will review the questionnaire templates shared by the SNDB team to suggest changes or customization so that the questionnaire is adapted to the local context.</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4. Deliver questionnaires completed by respondents: Upon completion of the questionnaire collection, the Consultant Organization will deliver the completed questionnaires and attach copies of relevant laws and regulations when available. The Consultant Organization is encouraged to also include any information regarding recent or ongoing reform initiatives in the specified topics.</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b/>
          <w:sz w:val="24"/>
          <w:szCs w:val="24"/>
          <w:lang w:eastAsia="nl-NL"/>
        </w:rPr>
        <w:t>TENTATIVE TIMELINE</w:t>
      </w:r>
      <w:r w:rsidRPr="00C106FA">
        <w:rPr>
          <w:rFonts w:ascii="Times New Roman" w:eastAsia="Times New Roman" w:hAnsi="Times New Roman" w:cs="Times New Roman"/>
          <w:sz w:val="24"/>
          <w:szCs w:val="24"/>
          <w:lang w:eastAsia="nl-NL"/>
        </w:rPr>
        <w:br/>
        <w:t xml:space="preserve">The Consultant Organization will work on the project from the date of the signature of the contract until the second quarter of 2016 calendar year. </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b/>
          <w:sz w:val="24"/>
          <w:szCs w:val="24"/>
          <w:lang w:eastAsia="nl-NL"/>
        </w:rPr>
        <w:t>SELECTION CRITERIA</w:t>
      </w:r>
      <w:r w:rsidRPr="00C106FA">
        <w:rPr>
          <w:rFonts w:ascii="Times New Roman" w:eastAsia="Times New Roman" w:hAnsi="Times New Roman" w:cs="Times New Roman"/>
          <w:sz w:val="24"/>
          <w:szCs w:val="24"/>
          <w:lang w:eastAsia="nl-NL"/>
        </w:rPr>
        <w:br/>
        <w:t xml:space="preserve">The Consultant Organization will be selected based on the following requirements: </w:t>
      </w:r>
      <w:r w:rsidRPr="00C106FA">
        <w:rPr>
          <w:rFonts w:ascii="Times New Roman" w:eastAsia="Times New Roman" w:hAnsi="Times New Roman" w:cs="Times New Roman"/>
          <w:sz w:val="24"/>
          <w:szCs w:val="24"/>
          <w:lang w:eastAsia="nl-NL"/>
        </w:rPr>
        <w:br/>
        <w:t>-Experience in the above-mentioned surveyed topics;</w:t>
      </w:r>
      <w:r w:rsidRPr="00C106FA">
        <w:rPr>
          <w:rFonts w:ascii="Times New Roman" w:eastAsia="Times New Roman" w:hAnsi="Times New Roman" w:cs="Times New Roman"/>
          <w:sz w:val="24"/>
          <w:szCs w:val="24"/>
          <w:lang w:eastAsia="nl-NL"/>
        </w:rPr>
        <w:br/>
        <w:t>-Experience in managing data collection processes at the country level;</w:t>
      </w:r>
      <w:r w:rsidRPr="00C106FA">
        <w:rPr>
          <w:rFonts w:ascii="Times New Roman" w:eastAsia="Times New Roman" w:hAnsi="Times New Roman" w:cs="Times New Roman"/>
          <w:sz w:val="24"/>
          <w:szCs w:val="24"/>
          <w:lang w:eastAsia="nl-NL"/>
        </w:rPr>
        <w:br/>
        <w:t>-Accessibility and commitment up until project completion;</w:t>
      </w:r>
      <w:r w:rsidRPr="00C106FA">
        <w:rPr>
          <w:rFonts w:ascii="Times New Roman" w:eastAsia="Times New Roman" w:hAnsi="Times New Roman" w:cs="Times New Roman"/>
          <w:sz w:val="24"/>
          <w:szCs w:val="24"/>
          <w:lang w:eastAsia="nl-NL"/>
        </w:rPr>
        <w:br/>
        <w:t>-Ability to verify the quality of the completed questionnaires in each location;</w:t>
      </w:r>
      <w:r w:rsidRPr="00C106FA">
        <w:rPr>
          <w:rFonts w:ascii="Times New Roman" w:eastAsia="Times New Roman" w:hAnsi="Times New Roman" w:cs="Times New Roman"/>
          <w:sz w:val="24"/>
          <w:szCs w:val="24"/>
          <w:lang w:eastAsia="nl-NL"/>
        </w:rPr>
        <w:br/>
        <w:t>-Ability to ensure a solid set of expert respondents available to answer follow-up questions by the SNDB team;</w:t>
      </w:r>
      <w:r w:rsidRPr="00C106FA">
        <w:rPr>
          <w:rFonts w:ascii="Times New Roman" w:eastAsia="Times New Roman" w:hAnsi="Times New Roman" w:cs="Times New Roman"/>
          <w:sz w:val="24"/>
          <w:szCs w:val="24"/>
          <w:lang w:eastAsia="nl-NL"/>
        </w:rPr>
        <w:br/>
        <w:t xml:space="preserve">-Ability to replace questionnaire respondents and/or experts in the event previously selected ones are unable to answer the questionnaire unavailable to answer the follow-up questions from the SNDB team; </w:t>
      </w:r>
      <w:r w:rsidRPr="00C106FA">
        <w:rPr>
          <w:rFonts w:ascii="Times New Roman" w:eastAsia="Times New Roman" w:hAnsi="Times New Roman" w:cs="Times New Roman"/>
          <w:sz w:val="24"/>
          <w:szCs w:val="24"/>
          <w:lang w:eastAsia="nl-NL"/>
        </w:rPr>
        <w:br/>
        <w:t>-Ability to deliver in a timely fashion.</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b/>
          <w:sz w:val="24"/>
          <w:szCs w:val="24"/>
          <w:lang w:eastAsia="nl-NL"/>
        </w:rPr>
        <w:t>SUBMISSION REQUIREMENTS</w:t>
      </w:r>
      <w:r w:rsidRPr="00C106FA">
        <w:rPr>
          <w:rFonts w:ascii="Times New Roman" w:eastAsia="Times New Roman" w:hAnsi="Times New Roman" w:cs="Times New Roman"/>
          <w:sz w:val="24"/>
          <w:szCs w:val="24"/>
          <w:lang w:eastAsia="nl-NL"/>
        </w:rPr>
        <w:br/>
        <w:t>Interested firms are hereby invited to submit expressions of interest by August 31, 2015. Expressions of interest should include: a) value for the contract expressed in US dollars and the equivalent in local currency (Kenya Shilling); b) a description of why the organization meets the selection criteria; and c) a description of how the organization would implement the work described above.</w:t>
      </w:r>
      <w:r w:rsidRPr="00C106FA">
        <w:rPr>
          <w:rFonts w:ascii="Times New Roman" w:eastAsia="Times New Roman" w:hAnsi="Times New Roman" w:cs="Times New Roman"/>
          <w:sz w:val="24"/>
          <w:szCs w:val="24"/>
          <w:lang w:eastAsia="nl-NL"/>
        </w:rPr>
        <w:br/>
      </w:r>
      <w:r w:rsidRPr="00C106FA">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p>
    <w:p w:rsidR="00C106FA" w:rsidRPr="00C106FA" w:rsidRDefault="00C106FA" w:rsidP="00C106FA">
      <w:pPr>
        <w:spacing w:after="0"/>
        <w:rPr>
          <w:rFonts w:ascii="Times New Roman" w:eastAsia="Times New Roman" w:hAnsi="Times New Roman" w:cs="Times New Roman"/>
          <w:sz w:val="24"/>
          <w:szCs w:val="24"/>
          <w:lang w:val="nl-NL" w:eastAsia="nl-NL"/>
        </w:rPr>
      </w:pPr>
      <w:r w:rsidRPr="00C106FA">
        <w:rPr>
          <w:rFonts w:ascii="Times New Roman" w:eastAsia="Times New Roman" w:hAnsi="Times New Roman" w:cs="Times New Roman"/>
          <w:sz w:val="24"/>
          <w:szCs w:val="24"/>
          <w:lang w:val="nl-NL" w:eastAsia="nl-NL"/>
        </w:rPr>
        <w:t xml:space="preserve">Qualification Criteria </w:t>
      </w:r>
    </w:p>
    <w:p w:rsidR="00C106FA" w:rsidRPr="00C106FA" w:rsidRDefault="00C106FA" w:rsidP="00C106F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106FA">
        <w:rPr>
          <w:rFonts w:ascii="Times New Roman" w:eastAsia="Times New Roman" w:hAnsi="Times New Roman" w:cs="Times New Roman"/>
          <w:b/>
          <w:bCs/>
          <w:sz w:val="24"/>
          <w:szCs w:val="24"/>
          <w:lang w:eastAsia="nl-NL"/>
        </w:rPr>
        <w:lastRenderedPageBreak/>
        <w:t>1.</w:t>
      </w:r>
      <w:r w:rsidRPr="00C106FA">
        <w:rPr>
          <w:rFonts w:ascii="Times New Roman" w:eastAsia="Times New Roman" w:hAnsi="Times New Roman" w:cs="Times New Roman"/>
          <w:sz w:val="24"/>
          <w:szCs w:val="24"/>
          <w:lang w:eastAsia="nl-NL"/>
        </w:rPr>
        <w:t xml:space="preserve"> Provide information showing that they are qualified in the field of the assignment.</w:t>
      </w:r>
    </w:p>
    <w:p w:rsidR="00C106FA" w:rsidRPr="00C106FA" w:rsidRDefault="00C106FA" w:rsidP="00C106F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106FA">
        <w:rPr>
          <w:rFonts w:ascii="Times New Roman" w:eastAsia="Times New Roman" w:hAnsi="Times New Roman" w:cs="Times New Roman"/>
          <w:b/>
          <w:bCs/>
          <w:sz w:val="24"/>
          <w:szCs w:val="24"/>
          <w:lang w:eastAsia="nl-NL"/>
        </w:rPr>
        <w:t>2.</w:t>
      </w:r>
      <w:r w:rsidRPr="00C106FA">
        <w:rPr>
          <w:rFonts w:ascii="Times New Roman" w:eastAsia="Times New Roman" w:hAnsi="Times New Roman" w:cs="Times New Roman"/>
          <w:sz w:val="24"/>
          <w:szCs w:val="24"/>
          <w:lang w:eastAsia="nl-NL"/>
        </w:rPr>
        <w:t xml:space="preserve"> Provide information on the technical and managerial capabilities of the firm.</w:t>
      </w:r>
    </w:p>
    <w:p w:rsidR="00C106FA" w:rsidRPr="00C106FA" w:rsidRDefault="00C106FA" w:rsidP="00C106F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106FA">
        <w:rPr>
          <w:rFonts w:ascii="Times New Roman" w:eastAsia="Times New Roman" w:hAnsi="Times New Roman" w:cs="Times New Roman"/>
          <w:b/>
          <w:bCs/>
          <w:sz w:val="24"/>
          <w:szCs w:val="24"/>
          <w:lang w:eastAsia="nl-NL"/>
        </w:rPr>
        <w:t>3.</w:t>
      </w:r>
      <w:r w:rsidRPr="00C106FA">
        <w:rPr>
          <w:rFonts w:ascii="Times New Roman" w:eastAsia="Times New Roman" w:hAnsi="Times New Roman" w:cs="Times New Roman"/>
          <w:sz w:val="24"/>
          <w:szCs w:val="24"/>
          <w:lang w:eastAsia="nl-NL"/>
        </w:rPr>
        <w:t xml:space="preserve"> Provide information on their core business and years in business.</w:t>
      </w:r>
    </w:p>
    <w:p w:rsidR="00C106FA" w:rsidRPr="00C106FA" w:rsidRDefault="00C106FA" w:rsidP="00C106F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106FA">
        <w:rPr>
          <w:rFonts w:ascii="Times New Roman" w:eastAsia="Times New Roman" w:hAnsi="Times New Roman" w:cs="Times New Roman"/>
          <w:b/>
          <w:bCs/>
          <w:sz w:val="24"/>
          <w:szCs w:val="24"/>
          <w:lang w:eastAsia="nl-NL"/>
        </w:rPr>
        <w:t>4.</w:t>
      </w:r>
      <w:r w:rsidRPr="00C106FA">
        <w:rPr>
          <w:rFonts w:ascii="Times New Roman" w:eastAsia="Times New Roman" w:hAnsi="Times New Roman" w:cs="Times New Roman"/>
          <w:sz w:val="24"/>
          <w:szCs w:val="24"/>
          <w:lang w:eastAsia="nl-NL"/>
        </w:rPr>
        <w:t xml:space="preserve"> Provide information on the qualifications of key staff.</w:t>
      </w:r>
    </w:p>
    <w:p w:rsidR="00C106FA" w:rsidRPr="00C106FA" w:rsidRDefault="00C106FA" w:rsidP="00C106FA">
      <w:pPr>
        <w:spacing w:after="0"/>
        <w:rPr>
          <w:rFonts w:ascii="Times New Roman" w:eastAsia="Times New Roman" w:hAnsi="Times New Roman" w:cs="Times New Roman"/>
          <w:sz w:val="24"/>
          <w:szCs w:val="24"/>
          <w:lang w:eastAsia="nl-NL"/>
        </w:rPr>
      </w:pPr>
      <w:r w:rsidRPr="00C106FA">
        <w:rPr>
          <w:rFonts w:ascii="Times New Roman" w:eastAsia="Times New Roman" w:hAnsi="Times New Roman" w:cs="Times New Roman"/>
          <w:sz w:val="24"/>
          <w:szCs w:val="24"/>
          <w:lang w:eastAsia="nl-NL"/>
        </w:rPr>
        <w:t>* - Mandatory</w:t>
      </w:r>
    </w:p>
    <w:p w:rsidR="00C106FA" w:rsidRPr="00C106FA" w:rsidRDefault="00C106FA" w:rsidP="00C106FA">
      <w:pPr>
        <w:spacing w:after="0"/>
        <w:rPr>
          <w:rFonts w:ascii="Times New Roman" w:eastAsia="Times New Roman" w:hAnsi="Times New Roman" w:cs="Times New Roman"/>
          <w:sz w:val="24"/>
          <w:szCs w:val="24"/>
          <w:lang w:eastAsia="nl-NL"/>
        </w:rPr>
      </w:pPr>
      <w:r w:rsidRPr="00C106FA">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E55D7D"/>
    <w:multiLevelType w:val="multilevel"/>
    <w:tmpl w:val="7B085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FD4DFD"/>
    <w:multiLevelType w:val="multilevel"/>
    <w:tmpl w:val="6910E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4C2455"/>
    <w:multiLevelType w:val="multilevel"/>
    <w:tmpl w:val="F1260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6FA"/>
    <w:rsid w:val="002B7A71"/>
    <w:rsid w:val="00C106FA"/>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088353">
      <w:bodyDiv w:val="1"/>
      <w:marLeft w:val="0"/>
      <w:marRight w:val="0"/>
      <w:marTop w:val="0"/>
      <w:marBottom w:val="0"/>
      <w:divBdr>
        <w:top w:val="none" w:sz="0" w:space="0" w:color="auto"/>
        <w:left w:val="none" w:sz="0" w:space="0" w:color="auto"/>
        <w:bottom w:val="none" w:sz="0" w:space="0" w:color="auto"/>
        <w:right w:val="none" w:sz="0" w:space="0" w:color="auto"/>
      </w:divBdr>
      <w:divsChild>
        <w:div w:id="1746302081">
          <w:marLeft w:val="0"/>
          <w:marRight w:val="0"/>
          <w:marTop w:val="0"/>
          <w:marBottom w:val="0"/>
          <w:divBdr>
            <w:top w:val="none" w:sz="0" w:space="0" w:color="auto"/>
            <w:left w:val="none" w:sz="0" w:space="0" w:color="auto"/>
            <w:bottom w:val="none" w:sz="0" w:space="0" w:color="auto"/>
            <w:right w:val="none" w:sz="0" w:space="0" w:color="auto"/>
          </w:divBdr>
        </w:div>
        <w:div w:id="1545171499">
          <w:marLeft w:val="0"/>
          <w:marRight w:val="0"/>
          <w:marTop w:val="0"/>
          <w:marBottom w:val="0"/>
          <w:divBdr>
            <w:top w:val="none" w:sz="0" w:space="0" w:color="auto"/>
            <w:left w:val="none" w:sz="0" w:space="0" w:color="auto"/>
            <w:bottom w:val="none" w:sz="0" w:space="0" w:color="auto"/>
            <w:right w:val="none" w:sz="0" w:space="0" w:color="auto"/>
          </w:divBdr>
          <w:divsChild>
            <w:div w:id="715668593">
              <w:marLeft w:val="0"/>
              <w:marRight w:val="0"/>
              <w:marTop w:val="0"/>
              <w:marBottom w:val="0"/>
              <w:divBdr>
                <w:top w:val="none" w:sz="0" w:space="0" w:color="auto"/>
                <w:left w:val="none" w:sz="0" w:space="0" w:color="auto"/>
                <w:bottom w:val="none" w:sz="0" w:space="0" w:color="auto"/>
                <w:right w:val="none" w:sz="0" w:space="0" w:color="auto"/>
              </w:divBdr>
              <w:divsChild>
                <w:div w:id="422844108">
                  <w:marLeft w:val="0"/>
                  <w:marRight w:val="0"/>
                  <w:marTop w:val="0"/>
                  <w:marBottom w:val="0"/>
                  <w:divBdr>
                    <w:top w:val="none" w:sz="0" w:space="0" w:color="auto"/>
                    <w:left w:val="none" w:sz="0" w:space="0" w:color="auto"/>
                    <w:bottom w:val="none" w:sz="0" w:space="0" w:color="auto"/>
                    <w:right w:val="none" w:sz="0" w:space="0" w:color="auto"/>
                  </w:divBdr>
                </w:div>
              </w:divsChild>
            </w:div>
            <w:div w:id="1260674867">
              <w:marLeft w:val="0"/>
              <w:marRight w:val="0"/>
              <w:marTop w:val="0"/>
              <w:marBottom w:val="0"/>
              <w:divBdr>
                <w:top w:val="none" w:sz="0" w:space="0" w:color="auto"/>
                <w:left w:val="none" w:sz="0" w:space="0" w:color="auto"/>
                <w:bottom w:val="none" w:sz="0" w:space="0" w:color="auto"/>
                <w:right w:val="none" w:sz="0" w:space="0" w:color="auto"/>
              </w:divBdr>
              <w:divsChild>
                <w:div w:id="1686202294">
                  <w:marLeft w:val="0"/>
                  <w:marRight w:val="0"/>
                  <w:marTop w:val="0"/>
                  <w:marBottom w:val="0"/>
                  <w:divBdr>
                    <w:top w:val="none" w:sz="0" w:space="0" w:color="auto"/>
                    <w:left w:val="none" w:sz="0" w:space="0" w:color="auto"/>
                    <w:bottom w:val="none" w:sz="0" w:space="0" w:color="auto"/>
                    <w:right w:val="none" w:sz="0" w:space="0" w:color="auto"/>
                  </w:divBdr>
                </w:div>
                <w:div w:id="1524052604">
                  <w:marLeft w:val="0"/>
                  <w:marRight w:val="0"/>
                  <w:marTop w:val="0"/>
                  <w:marBottom w:val="0"/>
                  <w:divBdr>
                    <w:top w:val="none" w:sz="0" w:space="0" w:color="auto"/>
                    <w:left w:val="none" w:sz="0" w:space="0" w:color="auto"/>
                    <w:bottom w:val="none" w:sz="0" w:space="0" w:color="auto"/>
                    <w:right w:val="none" w:sz="0" w:space="0" w:color="auto"/>
                  </w:divBdr>
                </w:div>
              </w:divsChild>
            </w:div>
            <w:div w:id="1246766915">
              <w:marLeft w:val="0"/>
              <w:marRight w:val="0"/>
              <w:marTop w:val="0"/>
              <w:marBottom w:val="0"/>
              <w:divBdr>
                <w:top w:val="none" w:sz="0" w:space="0" w:color="auto"/>
                <w:left w:val="none" w:sz="0" w:space="0" w:color="auto"/>
                <w:bottom w:val="none" w:sz="0" w:space="0" w:color="auto"/>
                <w:right w:val="none" w:sz="0" w:space="0" w:color="auto"/>
              </w:divBdr>
              <w:divsChild>
                <w:div w:id="1523082855">
                  <w:marLeft w:val="0"/>
                  <w:marRight w:val="0"/>
                  <w:marTop w:val="0"/>
                  <w:marBottom w:val="0"/>
                  <w:divBdr>
                    <w:top w:val="none" w:sz="0" w:space="0" w:color="auto"/>
                    <w:left w:val="none" w:sz="0" w:space="0" w:color="auto"/>
                    <w:bottom w:val="none" w:sz="0" w:space="0" w:color="auto"/>
                    <w:right w:val="none" w:sz="0" w:space="0" w:color="auto"/>
                  </w:divBdr>
                </w:div>
                <w:div w:id="571281921">
                  <w:marLeft w:val="0"/>
                  <w:marRight w:val="0"/>
                  <w:marTop w:val="0"/>
                  <w:marBottom w:val="0"/>
                  <w:divBdr>
                    <w:top w:val="none" w:sz="0" w:space="0" w:color="auto"/>
                    <w:left w:val="none" w:sz="0" w:space="0" w:color="auto"/>
                    <w:bottom w:val="none" w:sz="0" w:space="0" w:color="auto"/>
                    <w:right w:val="none" w:sz="0" w:space="0" w:color="auto"/>
                  </w:divBdr>
                </w:div>
              </w:divsChild>
            </w:div>
            <w:div w:id="1813906055">
              <w:marLeft w:val="0"/>
              <w:marRight w:val="0"/>
              <w:marTop w:val="0"/>
              <w:marBottom w:val="0"/>
              <w:divBdr>
                <w:top w:val="none" w:sz="0" w:space="0" w:color="auto"/>
                <w:left w:val="none" w:sz="0" w:space="0" w:color="auto"/>
                <w:bottom w:val="none" w:sz="0" w:space="0" w:color="auto"/>
                <w:right w:val="none" w:sz="0" w:space="0" w:color="auto"/>
              </w:divBdr>
              <w:divsChild>
                <w:div w:id="1469204096">
                  <w:marLeft w:val="0"/>
                  <w:marRight w:val="0"/>
                  <w:marTop w:val="0"/>
                  <w:marBottom w:val="0"/>
                  <w:divBdr>
                    <w:top w:val="none" w:sz="0" w:space="0" w:color="auto"/>
                    <w:left w:val="none" w:sz="0" w:space="0" w:color="auto"/>
                    <w:bottom w:val="none" w:sz="0" w:space="0" w:color="auto"/>
                    <w:right w:val="none" w:sz="0" w:space="0" w:color="auto"/>
                  </w:divBdr>
                </w:div>
                <w:div w:id="755319915">
                  <w:marLeft w:val="0"/>
                  <w:marRight w:val="0"/>
                  <w:marTop w:val="0"/>
                  <w:marBottom w:val="0"/>
                  <w:divBdr>
                    <w:top w:val="none" w:sz="0" w:space="0" w:color="auto"/>
                    <w:left w:val="none" w:sz="0" w:space="0" w:color="auto"/>
                    <w:bottom w:val="none" w:sz="0" w:space="0" w:color="auto"/>
                    <w:right w:val="none" w:sz="0" w:space="0" w:color="auto"/>
                  </w:divBdr>
                </w:div>
              </w:divsChild>
            </w:div>
            <w:div w:id="2076320074">
              <w:marLeft w:val="0"/>
              <w:marRight w:val="0"/>
              <w:marTop w:val="0"/>
              <w:marBottom w:val="0"/>
              <w:divBdr>
                <w:top w:val="none" w:sz="0" w:space="0" w:color="auto"/>
                <w:left w:val="none" w:sz="0" w:space="0" w:color="auto"/>
                <w:bottom w:val="none" w:sz="0" w:space="0" w:color="auto"/>
                <w:right w:val="none" w:sz="0" w:space="0" w:color="auto"/>
              </w:divBdr>
              <w:divsChild>
                <w:div w:id="1990471951">
                  <w:marLeft w:val="0"/>
                  <w:marRight w:val="0"/>
                  <w:marTop w:val="0"/>
                  <w:marBottom w:val="0"/>
                  <w:divBdr>
                    <w:top w:val="none" w:sz="0" w:space="0" w:color="auto"/>
                    <w:left w:val="none" w:sz="0" w:space="0" w:color="auto"/>
                    <w:bottom w:val="none" w:sz="0" w:space="0" w:color="auto"/>
                    <w:right w:val="none" w:sz="0" w:space="0" w:color="auto"/>
                  </w:divBdr>
                </w:div>
                <w:div w:id="861746380">
                  <w:marLeft w:val="0"/>
                  <w:marRight w:val="0"/>
                  <w:marTop w:val="0"/>
                  <w:marBottom w:val="0"/>
                  <w:divBdr>
                    <w:top w:val="none" w:sz="0" w:space="0" w:color="auto"/>
                    <w:left w:val="none" w:sz="0" w:space="0" w:color="auto"/>
                    <w:bottom w:val="none" w:sz="0" w:space="0" w:color="auto"/>
                    <w:right w:val="none" w:sz="0" w:space="0" w:color="auto"/>
                  </w:divBdr>
                </w:div>
              </w:divsChild>
            </w:div>
            <w:div w:id="1932544808">
              <w:marLeft w:val="0"/>
              <w:marRight w:val="0"/>
              <w:marTop w:val="0"/>
              <w:marBottom w:val="0"/>
              <w:divBdr>
                <w:top w:val="none" w:sz="0" w:space="0" w:color="auto"/>
                <w:left w:val="none" w:sz="0" w:space="0" w:color="auto"/>
                <w:bottom w:val="none" w:sz="0" w:space="0" w:color="auto"/>
                <w:right w:val="none" w:sz="0" w:space="0" w:color="auto"/>
              </w:divBdr>
              <w:divsChild>
                <w:div w:id="946697069">
                  <w:marLeft w:val="0"/>
                  <w:marRight w:val="0"/>
                  <w:marTop w:val="0"/>
                  <w:marBottom w:val="0"/>
                  <w:divBdr>
                    <w:top w:val="none" w:sz="0" w:space="0" w:color="auto"/>
                    <w:left w:val="none" w:sz="0" w:space="0" w:color="auto"/>
                    <w:bottom w:val="none" w:sz="0" w:space="0" w:color="auto"/>
                    <w:right w:val="none" w:sz="0" w:space="0" w:color="auto"/>
                  </w:divBdr>
                </w:div>
                <w:div w:id="222911501">
                  <w:marLeft w:val="0"/>
                  <w:marRight w:val="0"/>
                  <w:marTop w:val="0"/>
                  <w:marBottom w:val="0"/>
                  <w:divBdr>
                    <w:top w:val="none" w:sz="0" w:space="0" w:color="auto"/>
                    <w:left w:val="none" w:sz="0" w:space="0" w:color="auto"/>
                    <w:bottom w:val="none" w:sz="0" w:space="0" w:color="auto"/>
                    <w:right w:val="none" w:sz="0" w:space="0" w:color="auto"/>
                  </w:divBdr>
                </w:div>
              </w:divsChild>
            </w:div>
            <w:div w:id="2122410820">
              <w:marLeft w:val="0"/>
              <w:marRight w:val="0"/>
              <w:marTop w:val="0"/>
              <w:marBottom w:val="0"/>
              <w:divBdr>
                <w:top w:val="none" w:sz="0" w:space="0" w:color="auto"/>
                <w:left w:val="none" w:sz="0" w:space="0" w:color="auto"/>
                <w:bottom w:val="none" w:sz="0" w:space="0" w:color="auto"/>
                <w:right w:val="none" w:sz="0" w:space="0" w:color="auto"/>
              </w:divBdr>
              <w:divsChild>
                <w:div w:id="1654333292">
                  <w:marLeft w:val="0"/>
                  <w:marRight w:val="0"/>
                  <w:marTop w:val="0"/>
                  <w:marBottom w:val="0"/>
                  <w:divBdr>
                    <w:top w:val="none" w:sz="0" w:space="0" w:color="auto"/>
                    <w:left w:val="none" w:sz="0" w:space="0" w:color="auto"/>
                    <w:bottom w:val="none" w:sz="0" w:space="0" w:color="auto"/>
                    <w:right w:val="none" w:sz="0" w:space="0" w:color="auto"/>
                  </w:divBdr>
                </w:div>
                <w:div w:id="957952747">
                  <w:marLeft w:val="0"/>
                  <w:marRight w:val="0"/>
                  <w:marTop w:val="0"/>
                  <w:marBottom w:val="0"/>
                  <w:divBdr>
                    <w:top w:val="none" w:sz="0" w:space="0" w:color="auto"/>
                    <w:left w:val="none" w:sz="0" w:space="0" w:color="auto"/>
                    <w:bottom w:val="none" w:sz="0" w:space="0" w:color="auto"/>
                    <w:right w:val="none" w:sz="0" w:space="0" w:color="auto"/>
                  </w:divBdr>
                </w:div>
              </w:divsChild>
            </w:div>
            <w:div w:id="674188473">
              <w:marLeft w:val="0"/>
              <w:marRight w:val="0"/>
              <w:marTop w:val="0"/>
              <w:marBottom w:val="0"/>
              <w:divBdr>
                <w:top w:val="none" w:sz="0" w:space="0" w:color="auto"/>
                <w:left w:val="none" w:sz="0" w:space="0" w:color="auto"/>
                <w:bottom w:val="none" w:sz="0" w:space="0" w:color="auto"/>
                <w:right w:val="none" w:sz="0" w:space="0" w:color="auto"/>
              </w:divBdr>
              <w:divsChild>
                <w:div w:id="1123965492">
                  <w:marLeft w:val="0"/>
                  <w:marRight w:val="0"/>
                  <w:marTop w:val="0"/>
                  <w:marBottom w:val="0"/>
                  <w:divBdr>
                    <w:top w:val="none" w:sz="0" w:space="0" w:color="auto"/>
                    <w:left w:val="none" w:sz="0" w:space="0" w:color="auto"/>
                    <w:bottom w:val="none" w:sz="0" w:space="0" w:color="auto"/>
                    <w:right w:val="none" w:sz="0" w:space="0" w:color="auto"/>
                  </w:divBdr>
                </w:div>
                <w:div w:id="680394850">
                  <w:marLeft w:val="0"/>
                  <w:marRight w:val="0"/>
                  <w:marTop w:val="0"/>
                  <w:marBottom w:val="0"/>
                  <w:divBdr>
                    <w:top w:val="none" w:sz="0" w:space="0" w:color="auto"/>
                    <w:left w:val="none" w:sz="0" w:space="0" w:color="auto"/>
                    <w:bottom w:val="none" w:sz="0" w:space="0" w:color="auto"/>
                    <w:right w:val="none" w:sz="0" w:space="0" w:color="auto"/>
                  </w:divBdr>
                </w:div>
              </w:divsChild>
            </w:div>
            <w:div w:id="2072460379">
              <w:marLeft w:val="0"/>
              <w:marRight w:val="0"/>
              <w:marTop w:val="0"/>
              <w:marBottom w:val="0"/>
              <w:divBdr>
                <w:top w:val="none" w:sz="0" w:space="0" w:color="auto"/>
                <w:left w:val="none" w:sz="0" w:space="0" w:color="auto"/>
                <w:bottom w:val="none" w:sz="0" w:space="0" w:color="auto"/>
                <w:right w:val="none" w:sz="0" w:space="0" w:color="auto"/>
              </w:divBdr>
            </w:div>
            <w:div w:id="2036345550">
              <w:marLeft w:val="0"/>
              <w:marRight w:val="0"/>
              <w:marTop w:val="0"/>
              <w:marBottom w:val="0"/>
              <w:divBdr>
                <w:top w:val="none" w:sz="0" w:space="0" w:color="auto"/>
                <w:left w:val="none" w:sz="0" w:space="0" w:color="auto"/>
                <w:bottom w:val="none" w:sz="0" w:space="0" w:color="auto"/>
                <w:right w:val="none" w:sz="0" w:space="0" w:color="auto"/>
              </w:divBdr>
              <w:divsChild>
                <w:div w:id="1582525094">
                  <w:marLeft w:val="0"/>
                  <w:marRight w:val="0"/>
                  <w:marTop w:val="0"/>
                  <w:marBottom w:val="0"/>
                  <w:divBdr>
                    <w:top w:val="none" w:sz="0" w:space="0" w:color="auto"/>
                    <w:left w:val="none" w:sz="0" w:space="0" w:color="auto"/>
                    <w:bottom w:val="none" w:sz="0" w:space="0" w:color="auto"/>
                    <w:right w:val="none" w:sz="0" w:space="0" w:color="auto"/>
                  </w:divBdr>
                </w:div>
                <w:div w:id="84301877">
                  <w:marLeft w:val="0"/>
                  <w:marRight w:val="0"/>
                  <w:marTop w:val="0"/>
                  <w:marBottom w:val="0"/>
                  <w:divBdr>
                    <w:top w:val="none" w:sz="0" w:space="0" w:color="auto"/>
                    <w:left w:val="none" w:sz="0" w:space="0" w:color="auto"/>
                    <w:bottom w:val="none" w:sz="0" w:space="0" w:color="auto"/>
                    <w:right w:val="none" w:sz="0" w:space="0" w:color="auto"/>
                  </w:divBdr>
                </w:div>
              </w:divsChild>
            </w:div>
            <w:div w:id="801190884">
              <w:marLeft w:val="0"/>
              <w:marRight w:val="0"/>
              <w:marTop w:val="0"/>
              <w:marBottom w:val="0"/>
              <w:divBdr>
                <w:top w:val="none" w:sz="0" w:space="0" w:color="auto"/>
                <w:left w:val="none" w:sz="0" w:space="0" w:color="auto"/>
                <w:bottom w:val="none" w:sz="0" w:space="0" w:color="auto"/>
                <w:right w:val="none" w:sz="0" w:space="0" w:color="auto"/>
              </w:divBdr>
            </w:div>
          </w:divsChild>
        </w:div>
        <w:div w:id="1788768254">
          <w:marLeft w:val="0"/>
          <w:marRight w:val="0"/>
          <w:marTop w:val="0"/>
          <w:marBottom w:val="0"/>
          <w:divBdr>
            <w:top w:val="none" w:sz="0" w:space="0" w:color="auto"/>
            <w:left w:val="none" w:sz="0" w:space="0" w:color="auto"/>
            <w:bottom w:val="none" w:sz="0" w:space="0" w:color="auto"/>
            <w:right w:val="none" w:sz="0" w:space="0" w:color="auto"/>
          </w:divBdr>
          <w:divsChild>
            <w:div w:id="1401363914">
              <w:marLeft w:val="0"/>
              <w:marRight w:val="0"/>
              <w:marTop w:val="0"/>
              <w:marBottom w:val="0"/>
              <w:divBdr>
                <w:top w:val="none" w:sz="0" w:space="0" w:color="auto"/>
                <w:left w:val="none" w:sz="0" w:space="0" w:color="auto"/>
                <w:bottom w:val="none" w:sz="0" w:space="0" w:color="auto"/>
                <w:right w:val="none" w:sz="0" w:space="0" w:color="auto"/>
              </w:divBdr>
              <w:divsChild>
                <w:div w:id="19291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ADCE7B14</Template>
  <TotalTime>1</TotalTime>
  <Pages>5</Pages>
  <Words>1648</Words>
  <Characters>9068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2015-08-19T17:35:00Z</dcterms:created>
  <dcterms:modified xsi:type="dcterms:W3CDTF">2015-08-19T17:35:00Z</dcterms:modified>
</cp:coreProperties>
</file>